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 w:line="0" w:lineRule="atLeast"/>
        <w:ind w:left="0" w:right="0"/>
        <w:jc w:val="both"/>
      </w:pPr>
      <w:r>
        <w:rPr>
          <w:rFonts w:hint="default" w:ascii="Times New Roman" w:hAnsi="Times New Roman" w:cs="Times New Roman"/>
          <w:color w:val="000000"/>
          <w:sz w:val="32"/>
          <w:szCs w:val="32"/>
        </w:rPr>
        <w:t>附件2</w:t>
      </w:r>
    </w:p>
    <w:p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 w:line="0" w:lineRule="atLeast"/>
        <w:jc w:val="both"/>
      </w:pPr>
      <w:r>
        <w:rPr>
          <w:bdr w:val="none" w:color="auto" w:sz="0" w:space="0"/>
        </w:rPr>
        <w:t> </w:t>
      </w:r>
    </w:p>
    <w:p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 w:line="0" w:lineRule="atLeast"/>
        <w:jc w:val="center"/>
      </w:pPr>
      <w:r>
        <w:rPr>
          <w:rFonts w:hint="default" w:ascii="Times New Roman" w:hAnsi="Times New Roman" w:cs="Times New Roman"/>
          <w:color w:val="000000"/>
          <w:sz w:val="42"/>
          <w:szCs w:val="42"/>
        </w:rPr>
        <w:t>实行政府定价（指导价）的殡葬服务项目清单</w:t>
      </w:r>
    </w:p>
    <w:p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 w:line="0" w:lineRule="atLeast"/>
        <w:jc w:val="center"/>
      </w:pPr>
      <w:r>
        <w:t> </w:t>
      </w:r>
    </w:p>
    <w:tbl>
      <w:tblPr>
        <w:tblW w:w="0" w:type="auto"/>
        <w:jc w:val="center"/>
        <w:tblCellSpacing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15" w:type="dxa"/>
          <w:left w:w="15" w:type="dxa"/>
          <w:bottom w:w="0" w:type="dxa"/>
          <w:right w:w="15" w:type="dxa"/>
        </w:tblCellMar>
      </w:tblPr>
      <w:tblGrid>
        <w:gridCol w:w="680"/>
        <w:gridCol w:w="822"/>
        <w:gridCol w:w="1754"/>
        <w:gridCol w:w="720"/>
        <w:gridCol w:w="980"/>
        <w:gridCol w:w="960"/>
        <w:gridCol w:w="24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400" w:hRule="atLeast"/>
          <w:tblCellSpacing w:w="0" w:type="dxa"/>
          <w:jc w:val="center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rPr>
                <w:rFonts w:ascii="Times New Roman PS Pro" w:hAnsi="Times New Roman PS Pro" w:eastAsia="Times New Roman PS Pro" w:cs="Times New Roman PS Pro"/>
                <w:color w:val="000000"/>
                <w:sz w:val="21"/>
                <w:szCs w:val="21"/>
                <w:bdr w:val="none" w:color="auto" w:sz="0" w:space="0"/>
              </w:rPr>
              <w:t>序号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rPr>
                <w:rFonts w:hint="default" w:ascii="Times New Roman PS Pro" w:hAnsi="Times New Roman PS Pro" w:eastAsia="Times New Roman PS Pro" w:cs="Times New Roman PS Pro"/>
                <w:color w:val="000000"/>
                <w:sz w:val="21"/>
                <w:szCs w:val="21"/>
                <w:bdr w:val="none" w:color="auto" w:sz="0" w:space="0"/>
              </w:rPr>
              <w:t>服务项目</w:t>
            </w:r>
          </w:p>
        </w:tc>
        <w:tc>
          <w:tcPr>
            <w:tcW w:w="3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rPr>
                <w:rFonts w:hint="default" w:ascii="Times New Roman PS Pro" w:hAnsi="Times New Roman PS Pro" w:eastAsia="Times New Roman PS Pro" w:cs="Times New Roman PS Pro"/>
                <w:color w:val="000000"/>
                <w:sz w:val="21"/>
                <w:szCs w:val="21"/>
                <w:bdr w:val="none" w:color="auto" w:sz="0" w:space="0"/>
              </w:rPr>
              <w:t>服务内容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rPr>
                <w:rFonts w:hint="default" w:ascii="Times New Roman PS Pro" w:hAnsi="Times New Roman PS Pro" w:eastAsia="Times New Roman PS Pro" w:cs="Times New Roman PS Pro"/>
                <w:color w:val="000000"/>
                <w:sz w:val="21"/>
                <w:szCs w:val="21"/>
                <w:bdr w:val="none" w:color="auto" w:sz="0" w:space="0"/>
              </w:rPr>
              <w:t>定价  形式</w:t>
            </w:r>
          </w:p>
        </w:tc>
        <w:tc>
          <w:tcPr>
            <w:tcW w:w="1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rPr>
                <w:rFonts w:hint="default" w:ascii="Times New Roman PS Pro" w:hAnsi="Times New Roman PS Pro" w:eastAsia="Times New Roman PS Pro" w:cs="Times New Roman PS Pro"/>
                <w:color w:val="000000"/>
                <w:sz w:val="21"/>
                <w:szCs w:val="21"/>
                <w:bdr w:val="none" w:color="auto" w:sz="0" w:space="0"/>
              </w:rPr>
              <w:t>定价部门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rPr>
                <w:rFonts w:hint="default" w:ascii="Times New Roman PS Pro" w:hAnsi="Times New Roman PS Pro" w:eastAsia="Times New Roman PS Pro" w:cs="Times New Roman PS Pro"/>
                <w:color w:val="000000"/>
                <w:sz w:val="21"/>
                <w:szCs w:val="21"/>
                <w:bdr w:val="none" w:color="auto" w:sz="0" w:space="0"/>
              </w:rPr>
              <w:t>计量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rPr>
                <w:rFonts w:hint="default" w:ascii="Times New Roman PS Pro" w:hAnsi="Times New Roman PS Pro" w:eastAsia="Times New Roman PS Pro" w:cs="Times New Roman PS Pro"/>
                <w:color w:val="000000"/>
                <w:sz w:val="21"/>
                <w:szCs w:val="21"/>
                <w:bdr w:val="none" w:color="auto" w:sz="0" w:space="0"/>
              </w:rPr>
              <w:t>单位</w:t>
            </w:r>
          </w:p>
        </w:tc>
        <w:tc>
          <w:tcPr>
            <w:tcW w:w="5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rPr>
                <w:rFonts w:hint="default" w:ascii="Times New Roman PS Pro" w:hAnsi="Times New Roman PS Pro" w:eastAsia="Times New Roman PS Pro" w:cs="Times New Roman PS Pro"/>
                <w:color w:val="000000"/>
                <w:sz w:val="21"/>
                <w:szCs w:val="21"/>
                <w:bdr w:val="none" w:color="auto" w:sz="0" w:space="0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394" w:hRule="atLeast"/>
          <w:tblCellSpacing w:w="0" w:type="dxa"/>
          <w:jc w:val="center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rPr>
                <w:rFonts w:hint="default" w:ascii="Times New Roman PS Pro" w:hAnsi="Times New Roman PS Pro" w:eastAsia="Times New Roman PS Pro" w:cs="Times New Roman PS Pro"/>
                <w:color w:val="000000"/>
                <w:sz w:val="21"/>
                <w:szCs w:val="21"/>
                <w:bdr w:val="none" w:color="auto" w:sz="0" w:space="0"/>
              </w:rPr>
              <w:t>一</w:t>
            </w:r>
          </w:p>
        </w:tc>
        <w:tc>
          <w:tcPr>
            <w:tcW w:w="1314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</w:pPr>
            <w:r>
              <w:rPr>
                <w:rFonts w:hint="default" w:ascii="Times New Roman PS Pro" w:hAnsi="Times New Roman PS Pro" w:eastAsia="Times New Roman PS Pro" w:cs="Times New Roman PS Pro"/>
                <w:color w:val="000000"/>
                <w:sz w:val="21"/>
                <w:szCs w:val="21"/>
                <w:bdr w:val="none" w:color="auto" w:sz="0" w:space="0"/>
              </w:rPr>
              <w:t>殡仪服务项目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394" w:hRule="atLeast"/>
          <w:tblCellSpacing w:w="0" w:type="dxa"/>
          <w:jc w:val="center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rPr>
                <w:rFonts w:hint="default" w:ascii="Times New Roman PS Pro" w:hAnsi="Times New Roman PS Pro" w:eastAsia="Times New Roman PS Pro" w:cs="Times New Roman PS Pro"/>
                <w:color w:val="000000"/>
                <w:sz w:val="21"/>
                <w:szCs w:val="21"/>
                <w:bdr w:val="none" w:color="auto" w:sz="0" w:space="0"/>
              </w:rPr>
              <w:t>（一）</w:t>
            </w:r>
          </w:p>
        </w:tc>
        <w:tc>
          <w:tcPr>
            <w:tcW w:w="1314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</w:pPr>
            <w:r>
              <w:rPr>
                <w:rFonts w:hint="default" w:ascii="Times New Roman PS Pro" w:hAnsi="Times New Roman PS Pro" w:eastAsia="Times New Roman PS Pro" w:cs="Times New Roman PS Pro"/>
                <w:color w:val="000000"/>
                <w:sz w:val="21"/>
                <w:szCs w:val="21"/>
                <w:bdr w:val="none" w:color="auto" w:sz="0" w:space="0"/>
              </w:rPr>
              <w:t>基本服务项目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1170" w:hRule="atLeast"/>
          <w:tblCellSpacing w:w="0" w:type="dxa"/>
          <w:jc w:val="center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rPr>
                <w:rFonts w:hint="default" w:ascii="Times New Roman PS Pro" w:hAnsi="Times New Roman PS Pro" w:eastAsia="Times New Roman PS Pro" w:cs="Times New Roman PS Pro"/>
                <w:color w:val="000000"/>
                <w:sz w:val="21"/>
                <w:szCs w:val="21"/>
                <w:bdr w:val="none" w:color="auto" w:sz="0" w:space="0"/>
              </w:rPr>
              <w:t>1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</w:pPr>
            <w:r>
              <w:rPr>
                <w:rFonts w:hint="default" w:ascii="Times New Roman PS Pro" w:hAnsi="Times New Roman PS Pro" w:eastAsia="Times New Roman PS Pro" w:cs="Times New Roman PS Pro"/>
                <w:color w:val="000000"/>
                <w:sz w:val="21"/>
                <w:szCs w:val="21"/>
                <w:bdr w:val="none" w:color="auto" w:sz="0" w:space="0"/>
              </w:rPr>
              <w:t>遗体接运</w:t>
            </w:r>
          </w:p>
        </w:tc>
        <w:tc>
          <w:tcPr>
            <w:tcW w:w="3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</w:pPr>
            <w:r>
              <w:rPr>
                <w:rFonts w:hint="default" w:ascii="Times New Roman PS Pro" w:hAnsi="Times New Roman PS Pro" w:eastAsia="Times New Roman PS Pro" w:cs="Times New Roman PS Pro"/>
                <w:color w:val="000000"/>
                <w:sz w:val="21"/>
                <w:szCs w:val="21"/>
                <w:bdr w:val="none" w:color="auto" w:sz="0" w:space="0"/>
              </w:rPr>
              <w:t>到指定地点接运遗体，含抬尸、对正常死亡遗体进行消毒处理后装殓等。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rPr>
                <w:rFonts w:hint="default" w:ascii="Times New Roman PS Pro" w:hAnsi="Times New Roman PS Pro" w:eastAsia="Times New Roman PS Pro" w:cs="Times New Roman PS Pro"/>
                <w:color w:val="000000"/>
                <w:sz w:val="21"/>
                <w:szCs w:val="21"/>
                <w:bdr w:val="none" w:color="auto" w:sz="0" w:space="0"/>
              </w:rPr>
              <w:t>政府指导价</w:t>
            </w:r>
          </w:p>
        </w:tc>
        <w:tc>
          <w:tcPr>
            <w:tcW w:w="1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</w:pPr>
            <w:r>
              <w:rPr>
                <w:rFonts w:hint="default" w:ascii="Times New Roman PS Pro" w:hAnsi="Times New Roman PS Pro" w:eastAsia="Times New Roman PS Pro" w:cs="Times New Roman PS Pro"/>
                <w:color w:val="000000"/>
                <w:sz w:val="21"/>
                <w:szCs w:val="21"/>
                <w:bdr w:val="none" w:color="auto" w:sz="0" w:space="0"/>
              </w:rPr>
              <w:t>自治区发展改革部门会同民政、财政部门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rPr>
                <w:rFonts w:hint="default" w:ascii="Times New Roman PS Pro" w:hAnsi="Times New Roman PS Pro" w:eastAsia="Times New Roman PS Pro" w:cs="Times New Roman PS Pro"/>
                <w:color w:val="000000"/>
                <w:sz w:val="21"/>
                <w:szCs w:val="21"/>
                <w:bdr w:val="none" w:color="auto" w:sz="0" w:space="0"/>
              </w:rPr>
              <w:t>元/具·次</w:t>
            </w:r>
          </w:p>
        </w:tc>
        <w:tc>
          <w:tcPr>
            <w:tcW w:w="5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</w:pPr>
            <w:r>
              <w:rPr>
                <w:rFonts w:hint="default" w:ascii="Times New Roman PS Pro" w:hAnsi="Times New Roman PS Pro" w:eastAsia="Times New Roman PS Pro" w:cs="Times New Roman PS Pro"/>
                <w:color w:val="000000"/>
                <w:sz w:val="21"/>
                <w:szCs w:val="21"/>
                <w:bdr w:val="none" w:color="auto" w:sz="0" w:space="0"/>
              </w:rPr>
              <w:t>分基础运费及每公里加价运费两部分。考虑遗体运输车辆购置价格、里程数等情况计价。平面抬运、人工上下楼层数等定价。跨国境运送遗体另按相关规定办理。外抬特殊遗体接运包含传染病、腐败、意外、特体等，价格由双方协商确定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677" w:hRule="atLeast"/>
          <w:tblCellSpacing w:w="0" w:type="dxa"/>
          <w:jc w:val="center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rPr>
                <w:rFonts w:hint="default" w:ascii="Times New Roman PS Pro" w:hAnsi="Times New Roman PS Pro" w:eastAsia="Times New Roman PS Pro" w:cs="Times New Roman PS Pro"/>
                <w:color w:val="000000"/>
                <w:sz w:val="21"/>
                <w:szCs w:val="21"/>
                <w:bdr w:val="none" w:color="auto" w:sz="0" w:space="0"/>
              </w:rPr>
              <w:t>2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</w:pPr>
            <w:r>
              <w:rPr>
                <w:rFonts w:hint="default" w:ascii="Times New Roman PS Pro" w:hAnsi="Times New Roman PS Pro" w:eastAsia="Times New Roman PS Pro" w:cs="Times New Roman PS Pro"/>
                <w:color w:val="000000"/>
                <w:sz w:val="21"/>
                <w:szCs w:val="21"/>
                <w:bdr w:val="none" w:color="auto" w:sz="0" w:space="0"/>
              </w:rPr>
              <w:t>遗体存放</w:t>
            </w:r>
          </w:p>
        </w:tc>
        <w:tc>
          <w:tcPr>
            <w:tcW w:w="3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</w:pPr>
            <w:r>
              <w:rPr>
                <w:rFonts w:hint="default" w:ascii="Times New Roman PS Pro" w:hAnsi="Times New Roman PS Pro" w:eastAsia="Times New Roman PS Pro" w:cs="Times New Roman PS Pro"/>
                <w:color w:val="000000"/>
                <w:sz w:val="21"/>
                <w:szCs w:val="21"/>
                <w:bdr w:val="none" w:color="auto" w:sz="0" w:space="0"/>
              </w:rPr>
              <w:t>将遗体放入遗体冷藏或冷冻设备内，以低温方式保存遗体。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rPr>
                <w:rFonts w:hint="default" w:ascii="Times New Roman PS Pro" w:hAnsi="Times New Roman PS Pro" w:eastAsia="Times New Roman PS Pro" w:cs="Times New Roman PS Pro"/>
                <w:color w:val="000000"/>
                <w:sz w:val="21"/>
                <w:szCs w:val="21"/>
                <w:bdr w:val="none" w:color="auto" w:sz="0" w:space="0"/>
              </w:rPr>
              <w:t>政府定价</w:t>
            </w:r>
          </w:p>
        </w:tc>
        <w:tc>
          <w:tcPr>
            <w:tcW w:w="1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</w:pPr>
            <w:r>
              <w:rPr>
                <w:rFonts w:hint="default" w:ascii="Times New Roman PS Pro" w:hAnsi="Times New Roman PS Pro" w:eastAsia="Times New Roman PS Pro" w:cs="Times New Roman PS Pro"/>
                <w:color w:val="000000"/>
                <w:sz w:val="21"/>
                <w:szCs w:val="21"/>
                <w:bdr w:val="none" w:color="auto" w:sz="0" w:space="0"/>
              </w:rPr>
              <w:t>自治区发展改革部门会同民政、财政部门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rPr>
                <w:rFonts w:hint="default" w:ascii="Times New Roman PS Pro" w:hAnsi="Times New Roman PS Pro" w:eastAsia="Times New Roman PS Pro" w:cs="Times New Roman PS Pro"/>
                <w:color w:val="000000"/>
                <w:sz w:val="21"/>
                <w:szCs w:val="21"/>
                <w:bdr w:val="none" w:color="auto" w:sz="0" w:space="0"/>
              </w:rPr>
              <w:t>元/柜·具·天</w:t>
            </w:r>
          </w:p>
        </w:tc>
        <w:tc>
          <w:tcPr>
            <w:tcW w:w="5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</w:pPr>
            <w:r>
              <w:rPr>
                <w:rFonts w:hint="default" w:ascii="Times New Roman PS Pro" w:hAnsi="Times New Roman PS Pro" w:eastAsia="Times New Roman PS Pro" w:cs="Times New Roman PS Pro"/>
                <w:color w:val="000000"/>
                <w:sz w:val="21"/>
                <w:szCs w:val="21"/>
                <w:bdr w:val="none" w:color="auto" w:sz="0" w:space="0"/>
              </w:rPr>
              <w:t>根据存放时间，不足（含）12小时按半天计算，超过12小时不足24小时按全天计算。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tblCellSpacing w:w="0" w:type="dxa"/>
          <w:jc w:val="center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rPr>
                <w:rFonts w:hint="default" w:ascii="Times New Roman PS Pro" w:hAnsi="Times New Roman PS Pro" w:eastAsia="Times New Roman PS Pro" w:cs="Times New Roman PS Pro"/>
                <w:color w:val="000000"/>
                <w:sz w:val="21"/>
                <w:szCs w:val="21"/>
                <w:bdr w:val="none" w:color="auto" w:sz="0" w:space="0"/>
              </w:rPr>
              <w:t>3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</w:pPr>
            <w:r>
              <w:rPr>
                <w:rFonts w:hint="default" w:ascii="Times New Roman PS Pro" w:hAnsi="Times New Roman PS Pro" w:eastAsia="Times New Roman PS Pro" w:cs="Times New Roman PS Pro"/>
                <w:color w:val="000000"/>
                <w:sz w:val="21"/>
                <w:szCs w:val="21"/>
                <w:bdr w:val="none" w:color="auto" w:sz="0" w:space="0"/>
              </w:rPr>
              <w:t>遗体火化</w:t>
            </w:r>
          </w:p>
        </w:tc>
        <w:tc>
          <w:tcPr>
            <w:tcW w:w="3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</w:pPr>
            <w:r>
              <w:rPr>
                <w:rFonts w:hint="default" w:ascii="Times New Roman PS Pro" w:hAnsi="Times New Roman PS Pro" w:eastAsia="Times New Roman PS Pro" w:cs="Times New Roman PS Pro"/>
                <w:color w:val="000000"/>
                <w:sz w:val="21"/>
                <w:szCs w:val="21"/>
                <w:bdr w:val="none" w:color="auto" w:sz="0" w:space="0"/>
              </w:rPr>
              <w:t>用火化炉对遗体、遗骸或残肢等进行焚化。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rPr>
                <w:rFonts w:hint="default" w:ascii="Times New Roman PS Pro" w:hAnsi="Times New Roman PS Pro" w:eastAsia="Times New Roman PS Pro" w:cs="Times New Roman PS Pro"/>
                <w:color w:val="000000"/>
                <w:sz w:val="21"/>
                <w:szCs w:val="21"/>
                <w:bdr w:val="none" w:color="auto" w:sz="0" w:space="0"/>
              </w:rPr>
              <w:t>政府指导价</w:t>
            </w:r>
          </w:p>
        </w:tc>
        <w:tc>
          <w:tcPr>
            <w:tcW w:w="1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</w:pPr>
            <w:r>
              <w:rPr>
                <w:rFonts w:hint="default" w:ascii="Times New Roman PS Pro" w:hAnsi="Times New Roman PS Pro" w:eastAsia="Times New Roman PS Pro" w:cs="Times New Roman PS Pro"/>
                <w:color w:val="000000"/>
                <w:sz w:val="21"/>
                <w:szCs w:val="21"/>
                <w:bdr w:val="none" w:color="auto" w:sz="0" w:space="0"/>
              </w:rPr>
              <w:t>自治区发展改革部门会同民政、财政部门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rPr>
                <w:rFonts w:hint="default" w:ascii="Times New Roman PS Pro" w:hAnsi="Times New Roman PS Pro" w:eastAsia="Times New Roman PS Pro" w:cs="Times New Roman PS Pro"/>
                <w:color w:val="000000"/>
                <w:sz w:val="21"/>
                <w:szCs w:val="21"/>
                <w:bdr w:val="none" w:color="auto" w:sz="0" w:space="0"/>
              </w:rPr>
              <w:t>元/具</w:t>
            </w:r>
          </w:p>
        </w:tc>
        <w:tc>
          <w:tcPr>
            <w:tcW w:w="5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</w:pPr>
            <w:r>
              <w:rPr>
                <w:rFonts w:hint="default" w:ascii="Times New Roman PS Pro" w:hAnsi="Times New Roman PS Pro" w:eastAsia="Times New Roman PS Pro" w:cs="Times New Roman PS Pro"/>
                <w:color w:val="000000"/>
                <w:sz w:val="21"/>
                <w:szCs w:val="21"/>
                <w:bdr w:val="none" w:color="auto" w:sz="0" w:space="0"/>
              </w:rPr>
              <w:t>可根据火化炉类型、年火化量等分类定价。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90" w:hRule="atLeast"/>
          <w:tblCellSpacing w:w="0" w:type="dxa"/>
          <w:jc w:val="center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rPr>
                <w:rFonts w:hint="default" w:ascii="Times New Roman PS Pro" w:hAnsi="Times New Roman PS Pro" w:eastAsia="Times New Roman PS Pro" w:cs="Times New Roman PS Pro"/>
                <w:color w:val="000000"/>
                <w:sz w:val="21"/>
                <w:szCs w:val="21"/>
                <w:bdr w:val="none" w:color="auto" w:sz="0" w:space="0"/>
              </w:rPr>
              <w:t>4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</w:pPr>
            <w:r>
              <w:rPr>
                <w:rFonts w:hint="default" w:ascii="Times New Roman PS Pro" w:hAnsi="Times New Roman PS Pro" w:eastAsia="Times New Roman PS Pro" w:cs="Times New Roman PS Pro"/>
                <w:color w:val="000000"/>
                <w:sz w:val="21"/>
                <w:szCs w:val="21"/>
                <w:bdr w:val="none" w:color="auto" w:sz="0" w:space="0"/>
              </w:rPr>
              <w:t>骨灰寄存</w:t>
            </w:r>
          </w:p>
        </w:tc>
        <w:tc>
          <w:tcPr>
            <w:tcW w:w="3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</w:pPr>
            <w:r>
              <w:rPr>
                <w:rFonts w:hint="default" w:ascii="Times New Roman PS Pro" w:hAnsi="Times New Roman PS Pro" w:eastAsia="Times New Roman PS Pro" w:cs="Times New Roman PS Pro"/>
                <w:color w:val="000000"/>
                <w:sz w:val="21"/>
                <w:szCs w:val="21"/>
                <w:bdr w:val="none" w:color="auto" w:sz="0" w:space="0"/>
              </w:rPr>
              <w:t>约定期限存放骨灰。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rPr>
                <w:rFonts w:hint="default" w:ascii="Times New Roman PS Pro" w:hAnsi="Times New Roman PS Pro" w:eastAsia="Times New Roman PS Pro" w:cs="Times New Roman PS Pro"/>
                <w:color w:val="000000"/>
                <w:sz w:val="21"/>
                <w:szCs w:val="21"/>
                <w:bdr w:val="none" w:color="auto" w:sz="0" w:space="0"/>
              </w:rPr>
              <w:t>政府定价</w:t>
            </w:r>
          </w:p>
        </w:tc>
        <w:tc>
          <w:tcPr>
            <w:tcW w:w="1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</w:pPr>
            <w:r>
              <w:rPr>
                <w:rFonts w:hint="default" w:ascii="Times New Roman PS Pro" w:hAnsi="Times New Roman PS Pro" w:eastAsia="Times New Roman PS Pro" w:cs="Times New Roman PS Pro"/>
                <w:color w:val="000000"/>
                <w:sz w:val="21"/>
                <w:szCs w:val="21"/>
                <w:bdr w:val="none" w:color="auto" w:sz="0" w:space="0"/>
              </w:rPr>
              <w:t>自治区发展改革部门会同民政、财政部门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rPr>
                <w:rFonts w:hint="default" w:ascii="Times New Roman PS Pro" w:hAnsi="Times New Roman PS Pro" w:eastAsia="Times New Roman PS Pro" w:cs="Times New Roman PS Pro"/>
                <w:color w:val="000000"/>
                <w:sz w:val="21"/>
                <w:szCs w:val="21"/>
                <w:bdr w:val="none" w:color="auto" w:sz="0" w:space="0"/>
              </w:rPr>
              <w:t>元/盒·月</w:t>
            </w:r>
          </w:p>
        </w:tc>
        <w:tc>
          <w:tcPr>
            <w:tcW w:w="5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</w:pPr>
            <w:r>
              <w:rPr>
                <w:rFonts w:hint="default" w:ascii="Times New Roman PS Pro" w:hAnsi="Times New Roman PS Pro" w:eastAsia="Times New Roman PS Pro" w:cs="Times New Roman PS Pro"/>
                <w:color w:val="000000"/>
                <w:sz w:val="21"/>
                <w:szCs w:val="21"/>
                <w:bdr w:val="none" w:color="auto" w:sz="0" w:space="0"/>
              </w:rPr>
              <w:t>不足（含）15天按半月计算，超过15天不足30天按照一个月收取。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tblCellSpacing w:w="0" w:type="dxa"/>
          <w:jc w:val="center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rPr>
                <w:rFonts w:hint="default" w:ascii="Times New Roman PS Pro" w:hAnsi="Times New Roman PS Pro" w:eastAsia="Times New Roman PS Pro" w:cs="Times New Roman PS Pro"/>
                <w:color w:val="000000"/>
                <w:sz w:val="21"/>
                <w:szCs w:val="21"/>
                <w:bdr w:val="none" w:color="auto" w:sz="0" w:space="0"/>
              </w:rPr>
              <w:t>5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</w:pPr>
            <w:r>
              <w:rPr>
                <w:rFonts w:hint="default" w:ascii="Times New Roman PS Pro" w:hAnsi="Times New Roman PS Pro" w:eastAsia="Times New Roman PS Pro" w:cs="Times New Roman PS Pro"/>
                <w:color w:val="000000"/>
                <w:sz w:val="21"/>
                <w:szCs w:val="21"/>
                <w:bdr w:val="none" w:color="auto" w:sz="0" w:space="0"/>
              </w:rPr>
              <w:t>遗体清洗</w:t>
            </w:r>
          </w:p>
        </w:tc>
        <w:tc>
          <w:tcPr>
            <w:tcW w:w="3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</w:pPr>
            <w:r>
              <w:rPr>
                <w:rFonts w:hint="default" w:ascii="Times New Roman PS Pro" w:hAnsi="Times New Roman PS Pro" w:eastAsia="Times New Roman PS Pro" w:cs="Times New Roman PS Pro"/>
                <w:color w:val="000000"/>
                <w:sz w:val="21"/>
                <w:szCs w:val="21"/>
                <w:bdr w:val="none" w:color="auto" w:sz="0" w:space="0"/>
              </w:rPr>
              <w:t>按民族习俗将遗体进行清洁卫生处理，将遗体进行包裹等。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rPr>
                <w:rFonts w:hint="default" w:ascii="Times New Roman PS Pro" w:hAnsi="Times New Roman PS Pro" w:eastAsia="Times New Roman PS Pro" w:cs="Times New Roman PS Pro"/>
                <w:color w:val="000000"/>
                <w:sz w:val="21"/>
                <w:szCs w:val="21"/>
                <w:bdr w:val="none" w:color="auto" w:sz="0" w:space="0"/>
              </w:rPr>
              <w:t>政府指导价</w:t>
            </w:r>
          </w:p>
        </w:tc>
        <w:tc>
          <w:tcPr>
            <w:tcW w:w="1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</w:pPr>
            <w:r>
              <w:rPr>
                <w:rFonts w:hint="default" w:ascii="Times New Roman PS Pro" w:hAnsi="Times New Roman PS Pro" w:eastAsia="Times New Roman PS Pro" w:cs="Times New Roman PS Pro"/>
                <w:color w:val="000000"/>
                <w:sz w:val="21"/>
                <w:szCs w:val="21"/>
                <w:bdr w:val="none" w:color="auto" w:sz="0" w:space="0"/>
              </w:rPr>
              <w:t>自治区发展改革部门会同民政、财政部门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rPr>
                <w:rFonts w:hint="default" w:ascii="Times New Roman PS Pro" w:hAnsi="Times New Roman PS Pro" w:eastAsia="Times New Roman PS Pro" w:cs="Times New Roman PS Pro"/>
                <w:color w:val="000000"/>
                <w:sz w:val="21"/>
                <w:szCs w:val="21"/>
                <w:bdr w:val="none" w:color="auto" w:sz="0" w:space="0"/>
              </w:rPr>
              <w:t>元/具</w:t>
            </w:r>
          </w:p>
        </w:tc>
        <w:tc>
          <w:tcPr>
            <w:tcW w:w="5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both"/>
            </w:pPr>
            <w:r>
              <w:rPr>
                <w:rFonts w:hint="default" w:ascii="Times New Roman PS Pro" w:hAnsi="Times New Roman PS Pro" w:eastAsia="Times New Roman PS Pro" w:cs="Times New Roman PS Pro"/>
                <w:color w:val="000000"/>
                <w:sz w:val="21"/>
                <w:szCs w:val="21"/>
                <w:bdr w:val="none" w:color="auto" w:sz="0" w:space="0"/>
              </w:rPr>
              <w:t>遗体清洗费标准以元/具为计费单位核定，殡葬服务站（中心）可参照下浮执行，也可由家属与外请清洗</w:t>
            </w:r>
          </w:p>
          <w:p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</w:pPr>
            <w:r>
              <w:rPr>
                <w:rFonts w:hint="default" w:ascii="Times New Roman PS Pro" w:hAnsi="Times New Roman PS Pro" w:eastAsia="Times New Roman PS Pro" w:cs="Times New Roman PS Pro"/>
                <w:color w:val="000000"/>
                <w:sz w:val="21"/>
                <w:szCs w:val="21"/>
                <w:bdr w:val="none" w:color="auto" w:sz="0" w:space="0"/>
              </w:rPr>
              <w:t>人员商议确定。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tblCellSpacing w:w="0" w:type="dxa"/>
          <w:jc w:val="center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rPr>
                <w:rFonts w:hint="default" w:ascii="Times New Roman PS Pro" w:hAnsi="Times New Roman PS Pro" w:eastAsia="Times New Roman PS Pro" w:cs="Times New Roman PS Pro"/>
                <w:color w:val="000000"/>
                <w:sz w:val="21"/>
                <w:szCs w:val="21"/>
                <w:bdr w:val="none" w:color="auto" w:sz="0" w:space="0"/>
              </w:rPr>
              <w:t>6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</w:pPr>
            <w:r>
              <w:rPr>
                <w:rFonts w:hint="default" w:ascii="Times New Roman PS Pro" w:hAnsi="Times New Roman PS Pro" w:eastAsia="Times New Roman PS Pro" w:cs="Times New Roman PS Pro"/>
                <w:color w:val="000000"/>
                <w:sz w:val="21"/>
                <w:szCs w:val="21"/>
                <w:bdr w:val="none" w:color="auto" w:sz="0" w:space="0"/>
              </w:rPr>
              <w:t>墓穴挖坑</w:t>
            </w:r>
          </w:p>
        </w:tc>
        <w:tc>
          <w:tcPr>
            <w:tcW w:w="3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989"/>
              </w:tabs>
              <w:spacing w:before="0" w:beforeAutospacing="0" w:after="0" w:afterAutospacing="0" w:line="0" w:lineRule="atLeast"/>
            </w:pPr>
            <w:r>
              <w:rPr>
                <w:rFonts w:hint="default" w:ascii="Times New Roman PS Pro" w:hAnsi="Times New Roman PS Pro" w:eastAsia="Times New Roman PS Pro" w:cs="Times New Roman PS Pro"/>
                <w:color w:val="000000"/>
                <w:sz w:val="21"/>
                <w:szCs w:val="21"/>
                <w:bdr w:val="none" w:color="auto" w:sz="0" w:space="0"/>
              </w:rPr>
              <w:t>根据墓穴规格、尺寸进行挖掘。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rPr>
                <w:rFonts w:hint="default" w:ascii="Times New Roman PS Pro" w:hAnsi="Times New Roman PS Pro" w:eastAsia="Times New Roman PS Pro" w:cs="Times New Roman PS Pro"/>
                <w:color w:val="000000"/>
                <w:sz w:val="21"/>
                <w:szCs w:val="21"/>
                <w:bdr w:val="none" w:color="auto" w:sz="0" w:space="0"/>
              </w:rPr>
              <w:t>政府指导价</w:t>
            </w:r>
          </w:p>
        </w:tc>
        <w:tc>
          <w:tcPr>
            <w:tcW w:w="1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</w:pPr>
            <w:r>
              <w:rPr>
                <w:rFonts w:hint="default" w:ascii="Times New Roman PS Pro" w:hAnsi="Times New Roman PS Pro" w:eastAsia="Times New Roman PS Pro" w:cs="Times New Roman PS Pro"/>
                <w:color w:val="000000"/>
                <w:sz w:val="21"/>
                <w:szCs w:val="21"/>
                <w:bdr w:val="none" w:color="auto" w:sz="0" w:space="0"/>
              </w:rPr>
              <w:t>自治区发展改革部门会同民政、财政部门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rPr>
                <w:rFonts w:hint="default" w:ascii="Times New Roman PS Pro" w:hAnsi="Times New Roman PS Pro" w:eastAsia="Times New Roman PS Pro" w:cs="Times New Roman PS Pro"/>
                <w:color w:val="000000"/>
                <w:sz w:val="21"/>
                <w:szCs w:val="21"/>
                <w:bdr w:val="none" w:color="auto" w:sz="0" w:space="0"/>
              </w:rPr>
              <w:t>元/具</w:t>
            </w:r>
          </w:p>
        </w:tc>
        <w:tc>
          <w:tcPr>
            <w:tcW w:w="5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</w:pPr>
            <w:r>
              <w:rPr>
                <w:rFonts w:hint="default" w:ascii="Times New Roman PS Pro" w:hAnsi="Times New Roman PS Pro" w:eastAsia="Times New Roman PS Pro" w:cs="Times New Roman PS Pro"/>
                <w:color w:val="000000"/>
                <w:sz w:val="21"/>
                <w:szCs w:val="21"/>
                <w:bdr w:val="none" w:color="auto" w:sz="0" w:space="0"/>
              </w:rPr>
              <w:t>可根据民政部门规定的墓穴规格、尺寸，以及南北疆岩土、环境条件、季节差异等确定浮动比例。以公墓整体出售时不得重复收取墓穴挖坑费。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366" w:hRule="atLeast"/>
          <w:tblCellSpacing w:w="0" w:type="dxa"/>
          <w:jc w:val="center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rPr>
                <w:rFonts w:hint="default" w:ascii="Times New Roman PS Pro" w:hAnsi="Times New Roman PS Pro" w:eastAsia="Times New Roman PS Pro" w:cs="Times New Roman PS Pro"/>
                <w:color w:val="000000"/>
                <w:sz w:val="21"/>
                <w:szCs w:val="21"/>
                <w:bdr w:val="none" w:color="auto" w:sz="0" w:space="0"/>
              </w:rPr>
              <w:t>（二）</w:t>
            </w:r>
          </w:p>
        </w:tc>
        <w:tc>
          <w:tcPr>
            <w:tcW w:w="1314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</w:pPr>
            <w:r>
              <w:rPr>
                <w:rFonts w:hint="default" w:ascii="Times New Roman PS Pro" w:hAnsi="Times New Roman PS Pro" w:eastAsia="Times New Roman PS Pro" w:cs="Times New Roman PS Pro"/>
                <w:color w:val="000000"/>
                <w:sz w:val="21"/>
                <w:szCs w:val="21"/>
                <w:bdr w:val="none" w:color="auto" w:sz="0" w:space="0"/>
              </w:rPr>
              <w:t>延伸服务项目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tblCellSpacing w:w="0" w:type="dxa"/>
          <w:jc w:val="center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rPr>
                <w:rFonts w:hint="default" w:ascii="Times New Roman PS Pro" w:hAnsi="Times New Roman PS Pro" w:eastAsia="Times New Roman PS Pro" w:cs="Times New Roman PS Pro"/>
                <w:color w:val="000000"/>
                <w:sz w:val="21"/>
                <w:szCs w:val="21"/>
                <w:bdr w:val="none" w:color="auto" w:sz="0" w:space="0"/>
              </w:rPr>
              <w:t>1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</w:pPr>
            <w:r>
              <w:rPr>
                <w:rFonts w:hint="default" w:ascii="Times New Roman PS Pro" w:hAnsi="Times New Roman PS Pro" w:eastAsia="Times New Roman PS Pro" w:cs="Times New Roman PS Pro"/>
                <w:color w:val="000000"/>
                <w:sz w:val="21"/>
                <w:szCs w:val="21"/>
                <w:bdr w:val="none" w:color="auto" w:sz="0" w:space="0"/>
              </w:rPr>
              <w:t>遗体防腐</w:t>
            </w:r>
          </w:p>
        </w:tc>
        <w:tc>
          <w:tcPr>
            <w:tcW w:w="3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</w:pPr>
            <w:r>
              <w:rPr>
                <w:rFonts w:hint="default" w:ascii="Times New Roman PS Pro" w:hAnsi="Times New Roman PS Pro" w:eastAsia="Times New Roman PS Pro" w:cs="Times New Roman PS Pro"/>
                <w:color w:val="000000"/>
                <w:sz w:val="21"/>
                <w:szCs w:val="21"/>
                <w:bdr w:val="none" w:color="auto" w:sz="0" w:space="0"/>
              </w:rPr>
              <w:t>采用化学药剂等防腐保存遗体，含遗体防腐袋等材料。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rPr>
                <w:rFonts w:hint="default" w:ascii="Times New Roman PS Pro" w:hAnsi="Times New Roman PS Pro" w:eastAsia="Times New Roman PS Pro" w:cs="Times New Roman PS Pro"/>
                <w:color w:val="000000"/>
                <w:sz w:val="21"/>
                <w:szCs w:val="21"/>
                <w:bdr w:val="none" w:color="auto" w:sz="0" w:space="0"/>
              </w:rPr>
              <w:t>政府指导价</w:t>
            </w:r>
          </w:p>
        </w:tc>
        <w:tc>
          <w:tcPr>
            <w:tcW w:w="1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</w:pPr>
            <w:r>
              <w:rPr>
                <w:rFonts w:hint="default" w:ascii="Times New Roman PS Pro" w:hAnsi="Times New Roman PS Pro" w:eastAsia="Times New Roman PS Pro" w:cs="Times New Roman PS Pro"/>
                <w:color w:val="000000"/>
                <w:sz w:val="21"/>
                <w:szCs w:val="21"/>
                <w:bdr w:val="none" w:color="auto" w:sz="0" w:space="0"/>
              </w:rPr>
              <w:t>地、州、市发展改革部门会同民政、财政部门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rPr>
                <w:rFonts w:hint="default" w:ascii="Times New Roman PS Pro" w:hAnsi="Times New Roman PS Pro" w:eastAsia="Times New Roman PS Pro" w:cs="Times New Roman PS Pro"/>
                <w:color w:val="000000"/>
                <w:sz w:val="21"/>
                <w:szCs w:val="21"/>
                <w:bdr w:val="none" w:color="auto" w:sz="0" w:space="0"/>
              </w:rPr>
              <w:t>元/具</w:t>
            </w:r>
          </w:p>
        </w:tc>
        <w:tc>
          <w:tcPr>
            <w:tcW w:w="5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</w:pPr>
            <w:r>
              <w:rPr>
                <w:rFonts w:hint="default" w:ascii="Times New Roman PS Pro" w:hAnsi="Times New Roman PS Pro" w:eastAsia="Times New Roman PS Pro" w:cs="Times New Roman PS Pro"/>
                <w:color w:val="000000"/>
                <w:sz w:val="21"/>
                <w:szCs w:val="21"/>
                <w:bdr w:val="none" w:color="auto" w:sz="0" w:space="0"/>
              </w:rPr>
              <w:t>根据遗体的大小、处理方式等定价。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915" w:hRule="atLeast"/>
          <w:tblCellSpacing w:w="0" w:type="dxa"/>
          <w:jc w:val="center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rPr>
                <w:rFonts w:hint="default" w:ascii="Times New Roman PS Pro" w:hAnsi="Times New Roman PS Pro" w:eastAsia="Times New Roman PS Pro" w:cs="Times New Roman PS Pro"/>
                <w:color w:val="000000"/>
                <w:sz w:val="21"/>
                <w:szCs w:val="21"/>
                <w:bdr w:val="none" w:color="auto" w:sz="0" w:space="0"/>
              </w:rPr>
              <w:t>2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</w:pPr>
            <w:r>
              <w:rPr>
                <w:rFonts w:hint="default" w:ascii="Times New Roman PS Pro" w:hAnsi="Times New Roman PS Pro" w:eastAsia="Times New Roman PS Pro" w:cs="Times New Roman PS Pro"/>
                <w:color w:val="000000"/>
                <w:sz w:val="21"/>
                <w:szCs w:val="21"/>
                <w:bdr w:val="none" w:color="auto" w:sz="0" w:space="0"/>
              </w:rPr>
              <w:t>遗体整容（含洁身、更衣）</w:t>
            </w:r>
          </w:p>
        </w:tc>
        <w:tc>
          <w:tcPr>
            <w:tcW w:w="3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</w:pPr>
            <w:r>
              <w:rPr>
                <w:rFonts w:hint="default" w:ascii="Times New Roman PS Pro" w:hAnsi="Times New Roman PS Pro" w:eastAsia="Times New Roman PS Pro" w:cs="Times New Roman PS Pro"/>
                <w:color w:val="000000"/>
                <w:sz w:val="21"/>
                <w:szCs w:val="21"/>
                <w:bdr w:val="none" w:color="auto" w:sz="0" w:space="0"/>
              </w:rPr>
              <w:t>对遗体容貌进行普通修饰和美化，含面部清洗、遗体更衣、包括理发、剃须、化妆等。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rPr>
                <w:rFonts w:hint="default" w:ascii="Times New Roman PS Pro" w:hAnsi="Times New Roman PS Pro" w:eastAsia="Times New Roman PS Pro" w:cs="Times New Roman PS Pro"/>
                <w:color w:val="000000"/>
                <w:sz w:val="21"/>
                <w:szCs w:val="21"/>
                <w:bdr w:val="none" w:color="auto" w:sz="0" w:space="0"/>
              </w:rPr>
              <w:t>政府指导价</w:t>
            </w:r>
          </w:p>
        </w:tc>
        <w:tc>
          <w:tcPr>
            <w:tcW w:w="1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</w:pPr>
            <w:r>
              <w:rPr>
                <w:rFonts w:hint="default" w:ascii="Times New Roman PS Pro" w:hAnsi="Times New Roman PS Pro" w:eastAsia="Times New Roman PS Pro" w:cs="Times New Roman PS Pro"/>
                <w:color w:val="000000"/>
                <w:sz w:val="21"/>
                <w:szCs w:val="21"/>
                <w:bdr w:val="none" w:color="auto" w:sz="0" w:space="0"/>
              </w:rPr>
              <w:t>地、州、市发展改革部门会同民政、财政部门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rPr>
                <w:rFonts w:hint="default" w:ascii="Times New Roman PS Pro" w:hAnsi="Times New Roman PS Pro" w:eastAsia="Times New Roman PS Pro" w:cs="Times New Roman PS Pro"/>
                <w:color w:val="000000"/>
                <w:sz w:val="21"/>
                <w:szCs w:val="21"/>
                <w:bdr w:val="none" w:color="auto" w:sz="0" w:space="0"/>
              </w:rPr>
              <w:t>元/具</w:t>
            </w:r>
          </w:p>
        </w:tc>
        <w:tc>
          <w:tcPr>
            <w:tcW w:w="5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</w:pPr>
            <w:r>
              <w:rPr>
                <w:rFonts w:hint="default" w:ascii="Times New Roman PS Pro" w:hAnsi="Times New Roman PS Pro" w:eastAsia="Times New Roman PS Pro" w:cs="Times New Roman PS Pro"/>
                <w:color w:val="000000"/>
                <w:sz w:val="21"/>
                <w:szCs w:val="21"/>
                <w:bdr w:val="none" w:color="auto" w:sz="0" w:space="0"/>
              </w:rPr>
              <w:t>非正常死亡、特殊遗体、上门服务及家属特殊要求双方协商收费。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1565" w:hRule="atLeast"/>
          <w:tblCellSpacing w:w="0" w:type="dxa"/>
          <w:jc w:val="center"/>
        </w:trPr>
        <w:tc>
          <w:tcPr>
            <w:tcW w:w="660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rPr>
                <w:rFonts w:hint="default" w:ascii="Times New Roman PS Pro" w:hAnsi="Times New Roman PS Pro" w:eastAsia="Times New Roman PS Pro" w:cs="Times New Roman PS Pro"/>
                <w:color w:val="000000"/>
                <w:sz w:val="21"/>
                <w:szCs w:val="21"/>
                <w:bdr w:val="none" w:color="auto" w:sz="0" w:space="0"/>
              </w:rPr>
              <w:t>3</w:t>
            </w:r>
          </w:p>
        </w:tc>
        <w:tc>
          <w:tcPr>
            <w:tcW w:w="1339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</w:pPr>
            <w:r>
              <w:rPr>
                <w:rFonts w:hint="default" w:ascii="Times New Roman PS Pro" w:hAnsi="Times New Roman PS Pro" w:eastAsia="Times New Roman PS Pro" w:cs="Times New Roman PS Pro"/>
                <w:color w:val="000000"/>
                <w:sz w:val="21"/>
                <w:szCs w:val="21"/>
                <w:bdr w:val="none" w:color="auto" w:sz="0" w:space="0"/>
              </w:rPr>
              <w:t>吊唁设施及设备租赁</w:t>
            </w:r>
          </w:p>
        </w:tc>
        <w:tc>
          <w:tcPr>
            <w:tcW w:w="3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</w:pPr>
            <w:r>
              <w:rPr>
                <w:rFonts w:hint="default" w:ascii="Times New Roman PS Pro" w:hAnsi="Times New Roman PS Pro" w:eastAsia="Times New Roman PS Pro" w:cs="Times New Roman PS Pro"/>
                <w:color w:val="000000"/>
                <w:sz w:val="21"/>
                <w:szCs w:val="21"/>
                <w:bdr w:val="none" w:color="auto" w:sz="0" w:space="0"/>
              </w:rPr>
              <w:t>告别厅设施设备租用。提供哀悼、祭奠、追思逝者的礼厅（含礼厅内电子显示屏、空调、尸棺、围棺简易花饰、花架、像架、哀乐、固定花圈、桌椅等布置物品）。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rPr>
                <w:rFonts w:hint="default" w:ascii="Times New Roman PS Pro" w:hAnsi="Times New Roman PS Pro" w:eastAsia="Times New Roman PS Pro" w:cs="Times New Roman PS Pro"/>
                <w:color w:val="000000"/>
                <w:sz w:val="21"/>
                <w:szCs w:val="21"/>
                <w:bdr w:val="none" w:color="auto" w:sz="0" w:space="0"/>
              </w:rPr>
              <w:t>政府指导价</w:t>
            </w:r>
          </w:p>
        </w:tc>
        <w:tc>
          <w:tcPr>
            <w:tcW w:w="1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</w:pPr>
            <w:r>
              <w:rPr>
                <w:rFonts w:hint="default" w:ascii="Times New Roman PS Pro" w:hAnsi="Times New Roman PS Pro" w:eastAsia="Times New Roman PS Pro" w:cs="Times New Roman PS Pro"/>
                <w:color w:val="000000"/>
                <w:sz w:val="21"/>
                <w:szCs w:val="21"/>
                <w:bdr w:val="none" w:color="auto" w:sz="0" w:space="0"/>
              </w:rPr>
              <w:t>地、州、市发展改革部门会同民政、财政部门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rPr>
                <w:rFonts w:hint="default" w:ascii="Times New Roman PS Pro" w:hAnsi="Times New Roman PS Pro" w:eastAsia="Times New Roman PS Pro" w:cs="Times New Roman PS Pro"/>
                <w:color w:val="000000"/>
                <w:sz w:val="21"/>
                <w:szCs w:val="21"/>
                <w:bdr w:val="none" w:color="auto" w:sz="0" w:space="0"/>
              </w:rPr>
              <w:t>元/场次</w:t>
            </w:r>
          </w:p>
        </w:tc>
        <w:tc>
          <w:tcPr>
            <w:tcW w:w="5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</w:pPr>
            <w:r>
              <w:rPr>
                <w:rFonts w:hint="default" w:ascii="Times New Roman PS Pro" w:hAnsi="Times New Roman PS Pro" w:eastAsia="Times New Roman PS Pro" w:cs="Times New Roman PS Pro"/>
                <w:color w:val="000000"/>
                <w:sz w:val="21"/>
                <w:szCs w:val="21"/>
                <w:bdr w:val="none" w:color="auto" w:sz="0" w:space="0"/>
              </w:rPr>
              <w:t>可根据大中小（原则上大厅为300平方米及以上，中厅为100平方米-300平方米、小厅为100平方米及以下）、设施设备配置等分类定价。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737" w:hRule="atLeast"/>
          <w:tblCellSpacing w:w="0" w:type="dxa"/>
          <w:jc w:val="center"/>
        </w:trPr>
        <w:tc>
          <w:tcPr>
            <w:tcW w:w="66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339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</w:pPr>
            <w:r>
              <w:rPr>
                <w:rFonts w:hint="default" w:ascii="Times New Roman PS Pro" w:hAnsi="Times New Roman PS Pro" w:eastAsia="Times New Roman PS Pro" w:cs="Times New Roman PS Pro"/>
                <w:color w:val="000000"/>
                <w:sz w:val="21"/>
                <w:szCs w:val="21"/>
                <w:bdr w:val="none" w:color="auto" w:sz="0" w:space="0"/>
              </w:rPr>
              <w:t>守灵间设施设备租用。提供守灵的礼厅（含礼厅内固定布置物品）。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rPr>
                <w:rFonts w:hint="default" w:ascii="Times New Roman PS Pro" w:hAnsi="Times New Roman PS Pro" w:eastAsia="Times New Roman PS Pro" w:cs="Times New Roman PS Pro"/>
                <w:color w:val="000000"/>
                <w:sz w:val="21"/>
                <w:szCs w:val="21"/>
                <w:bdr w:val="none" w:color="auto" w:sz="0" w:space="0"/>
              </w:rPr>
              <w:t>政府指导价</w:t>
            </w:r>
          </w:p>
        </w:tc>
        <w:tc>
          <w:tcPr>
            <w:tcW w:w="1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</w:pPr>
            <w:r>
              <w:rPr>
                <w:rFonts w:hint="default" w:ascii="Times New Roman PS Pro" w:hAnsi="Times New Roman PS Pro" w:eastAsia="Times New Roman PS Pro" w:cs="Times New Roman PS Pro"/>
                <w:color w:val="000000"/>
                <w:sz w:val="21"/>
                <w:szCs w:val="21"/>
                <w:bdr w:val="none" w:color="auto" w:sz="0" w:space="0"/>
              </w:rPr>
              <w:t>地、州、市发展改革部门会同民政、财政部门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rPr>
                <w:rFonts w:hint="default" w:ascii="Times New Roman PS Pro" w:hAnsi="Times New Roman PS Pro" w:eastAsia="Times New Roman PS Pro" w:cs="Times New Roman PS Pro"/>
                <w:color w:val="000000"/>
                <w:sz w:val="21"/>
                <w:szCs w:val="21"/>
                <w:bdr w:val="none" w:color="auto" w:sz="0" w:space="0"/>
              </w:rPr>
              <w:t>元/间（套）·天</w:t>
            </w:r>
          </w:p>
        </w:tc>
        <w:tc>
          <w:tcPr>
            <w:tcW w:w="5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</w:pPr>
            <w:r>
              <w:rPr>
                <w:rFonts w:hint="default" w:ascii="Times New Roman PS Pro" w:hAnsi="Times New Roman PS Pro" w:eastAsia="Times New Roman PS Pro" w:cs="Times New Roman PS Pro"/>
                <w:color w:val="000000"/>
                <w:sz w:val="21"/>
                <w:szCs w:val="21"/>
                <w:bdr w:val="none" w:color="auto" w:sz="0" w:space="0"/>
              </w:rPr>
              <w:t>可根据装修、设施设备配置等分类定价。不足（含）12小时按半天计算，超过12小时不足24小时按全天计算。与遗体存放不得重复收费。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404" w:hRule="atLeast"/>
          <w:tblCellSpacing w:w="0" w:type="dxa"/>
          <w:jc w:val="center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rPr>
                <w:rFonts w:hint="default" w:ascii="Times New Roman PS Pro" w:hAnsi="Times New Roman PS Pro" w:eastAsia="Times New Roman PS Pro" w:cs="Times New Roman PS Pro"/>
                <w:color w:val="000000"/>
                <w:sz w:val="21"/>
                <w:szCs w:val="21"/>
                <w:bdr w:val="none" w:color="auto" w:sz="0" w:space="0"/>
              </w:rPr>
              <w:t>二</w:t>
            </w:r>
          </w:p>
        </w:tc>
        <w:tc>
          <w:tcPr>
            <w:tcW w:w="1314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</w:pPr>
            <w:r>
              <w:rPr>
                <w:rFonts w:hint="default" w:ascii="Times New Roman PS Pro" w:hAnsi="Times New Roman PS Pro" w:eastAsia="Times New Roman PS Pro" w:cs="Times New Roman PS Pro"/>
                <w:color w:val="000000"/>
                <w:sz w:val="21"/>
                <w:szCs w:val="21"/>
                <w:bdr w:val="none" w:color="auto" w:sz="0" w:space="0"/>
              </w:rPr>
              <w:t>公墓服务项目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965" w:hRule="atLeast"/>
          <w:tblCellSpacing w:w="0" w:type="dxa"/>
          <w:jc w:val="center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rPr>
                <w:rFonts w:hint="default" w:ascii="Times New Roman PS Pro" w:hAnsi="Times New Roman PS Pro" w:eastAsia="Times New Roman PS Pro" w:cs="Times New Roman PS Pro"/>
                <w:color w:val="000000"/>
                <w:sz w:val="21"/>
                <w:szCs w:val="21"/>
                <w:bdr w:val="none" w:color="auto" w:sz="0" w:space="0"/>
              </w:rPr>
              <w:t>（一）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</w:pPr>
            <w:r>
              <w:rPr>
                <w:rFonts w:hint="default" w:ascii="Times New Roman PS Pro" w:hAnsi="Times New Roman PS Pro" w:eastAsia="Times New Roman PS Pro" w:cs="Times New Roman PS Pro"/>
                <w:color w:val="000000"/>
                <w:sz w:val="21"/>
                <w:szCs w:val="21"/>
                <w:bdr w:val="none" w:color="auto" w:sz="0" w:space="0"/>
              </w:rPr>
              <w:t>公益性公墓价格</w:t>
            </w:r>
          </w:p>
        </w:tc>
        <w:tc>
          <w:tcPr>
            <w:tcW w:w="3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</w:pPr>
            <w:r>
              <w:rPr>
                <w:rFonts w:hint="default" w:ascii="Times New Roman PS Pro" w:hAnsi="Times New Roman PS Pro" w:eastAsia="Times New Roman PS Pro" w:cs="Times New Roman PS Pro"/>
                <w:color w:val="000000"/>
                <w:sz w:val="21"/>
                <w:szCs w:val="21"/>
                <w:bdr w:val="none" w:color="auto" w:sz="0" w:space="0"/>
              </w:rPr>
              <w:t>墓地安葬（放）逝者遗体、遗骸或骨灰的安放葬设施。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rPr>
                <w:rFonts w:hint="default" w:ascii="Times New Roman PS Pro" w:hAnsi="Times New Roman PS Pro" w:eastAsia="Times New Roman PS Pro" w:cs="Times New Roman PS Pro"/>
                <w:color w:val="000000"/>
                <w:sz w:val="21"/>
                <w:szCs w:val="21"/>
                <w:bdr w:val="none" w:color="auto" w:sz="0" w:space="0"/>
              </w:rPr>
              <w:t>政府指导价</w:t>
            </w:r>
          </w:p>
        </w:tc>
        <w:tc>
          <w:tcPr>
            <w:tcW w:w="1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</w:pPr>
            <w:r>
              <w:rPr>
                <w:rFonts w:hint="default" w:ascii="Times New Roman PS Pro" w:hAnsi="Times New Roman PS Pro" w:eastAsia="Times New Roman PS Pro" w:cs="Times New Roman PS Pro"/>
                <w:color w:val="000000"/>
                <w:sz w:val="21"/>
                <w:szCs w:val="21"/>
                <w:bdr w:val="none" w:color="auto" w:sz="0" w:space="0"/>
              </w:rPr>
              <w:t>地、州、市发展改革部门会同民政、财政部门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rPr>
                <w:rFonts w:hint="default" w:ascii="Times New Roman PS Pro" w:hAnsi="Times New Roman PS Pro" w:eastAsia="Times New Roman PS Pro" w:cs="Times New Roman PS Pro"/>
                <w:color w:val="000000"/>
                <w:sz w:val="21"/>
                <w:szCs w:val="21"/>
                <w:bdr w:val="none" w:color="auto" w:sz="0" w:space="0"/>
              </w:rPr>
              <w:t>元/座</w:t>
            </w:r>
          </w:p>
        </w:tc>
        <w:tc>
          <w:tcPr>
            <w:tcW w:w="5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</w:pPr>
            <w:r>
              <w:rPr>
                <w:rFonts w:hint="default" w:ascii="Times New Roman PS Pro" w:hAnsi="Times New Roman PS Pro" w:eastAsia="Times New Roman PS Pro" w:cs="Times New Roman PS Pro"/>
                <w:color w:val="000000"/>
                <w:sz w:val="21"/>
                <w:szCs w:val="21"/>
                <w:bdr w:val="none" w:color="auto" w:sz="0" w:space="0"/>
              </w:rPr>
              <w:t>可根据墓穴、骨灰格位、节地生态安葬等葬式类型等分类定价。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1330" w:hRule="atLeast"/>
          <w:tblCellSpacing w:w="0" w:type="dxa"/>
          <w:jc w:val="center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rPr>
                <w:rFonts w:hint="default" w:ascii="Times New Roman PS Pro" w:hAnsi="Times New Roman PS Pro" w:eastAsia="Times New Roman PS Pro" w:cs="Times New Roman PS Pro"/>
                <w:color w:val="000000"/>
                <w:sz w:val="21"/>
                <w:szCs w:val="21"/>
                <w:bdr w:val="none" w:color="auto" w:sz="0" w:space="0"/>
              </w:rPr>
              <w:t>（二）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</w:pPr>
            <w:r>
              <w:rPr>
                <w:rFonts w:hint="default" w:ascii="Times New Roman PS Pro" w:hAnsi="Times New Roman PS Pro" w:eastAsia="Times New Roman PS Pro" w:cs="Times New Roman PS Pro"/>
                <w:color w:val="000000"/>
                <w:sz w:val="21"/>
                <w:szCs w:val="21"/>
                <w:bdr w:val="none" w:color="auto" w:sz="0" w:space="0"/>
              </w:rPr>
              <w:t>公益性公墓维护管理费</w:t>
            </w:r>
          </w:p>
        </w:tc>
        <w:tc>
          <w:tcPr>
            <w:tcW w:w="3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</w:pPr>
            <w:r>
              <w:rPr>
                <w:rFonts w:hint="default" w:ascii="Times New Roman PS Pro" w:hAnsi="Times New Roman PS Pro" w:eastAsia="Times New Roman PS Pro" w:cs="Times New Roman PS Pro"/>
                <w:color w:val="000000"/>
                <w:sz w:val="21"/>
                <w:szCs w:val="21"/>
                <w:bdr w:val="none" w:color="auto" w:sz="0" w:space="0"/>
              </w:rPr>
              <w:t>对公墓设施进行维修、保养和管理（一次性收费不超过20年，自购墓之日起计算）。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rPr>
                <w:rFonts w:hint="default" w:ascii="Times New Roman PS Pro" w:hAnsi="Times New Roman PS Pro" w:eastAsia="Times New Roman PS Pro" w:cs="Times New Roman PS Pro"/>
                <w:color w:val="000000"/>
                <w:sz w:val="21"/>
                <w:szCs w:val="21"/>
                <w:bdr w:val="none" w:color="auto" w:sz="0" w:space="0"/>
              </w:rPr>
              <w:t>政府指导价</w:t>
            </w:r>
          </w:p>
        </w:tc>
        <w:tc>
          <w:tcPr>
            <w:tcW w:w="1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</w:pPr>
            <w:r>
              <w:rPr>
                <w:rFonts w:hint="default" w:ascii="Times New Roman PS Pro" w:hAnsi="Times New Roman PS Pro" w:eastAsia="Times New Roman PS Pro" w:cs="Times New Roman PS Pro"/>
                <w:color w:val="000000"/>
                <w:sz w:val="21"/>
                <w:szCs w:val="21"/>
                <w:bdr w:val="none" w:color="auto" w:sz="0" w:space="0"/>
              </w:rPr>
              <w:t>地、州、市发展改革部门会同民政、财政部门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rPr>
                <w:rFonts w:hint="default" w:ascii="Times New Roman PS Pro" w:hAnsi="Times New Roman PS Pro" w:eastAsia="Times New Roman PS Pro" w:cs="Times New Roman PS Pro"/>
                <w:color w:val="000000"/>
                <w:sz w:val="21"/>
                <w:szCs w:val="21"/>
                <w:bdr w:val="none" w:color="auto" w:sz="0" w:space="0"/>
              </w:rPr>
              <w:t>元/年</w:t>
            </w:r>
          </w:p>
        </w:tc>
        <w:tc>
          <w:tcPr>
            <w:tcW w:w="5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</w:pPr>
            <w:r>
              <w:rPr>
                <w:rFonts w:hint="default" w:ascii="Times New Roman PS Pro" w:hAnsi="Times New Roman PS Pro" w:eastAsia="Times New Roman PS Pro" w:cs="Times New Roman PS Pro"/>
                <w:color w:val="000000"/>
                <w:sz w:val="21"/>
                <w:szCs w:val="21"/>
                <w:bdr w:val="none" w:color="auto" w:sz="0" w:space="0"/>
              </w:rPr>
              <w:t>超过20年的按照国家有关规定执行。</w:t>
            </w:r>
          </w:p>
        </w:tc>
      </w:tr>
    </w:tbl>
    <w:p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jc w:val="both"/>
      </w:pPr>
      <w:r>
        <w:rPr>
          <w:bdr w:val="none" w:color="auto" w:sz="0" w:space="0"/>
        </w:rPr>
        <w:t> </w:t>
      </w:r>
    </w:p>
    <w:p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 w:line="0" w:lineRule="atLeast"/>
        <w:ind w:left="0" w:firstLine="640"/>
        <w:jc w:val="both"/>
      </w:pPr>
      <w:r>
        <w:t> 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imes New Roman PS Pro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C414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2025-08-27T12:56:14Z</dcterms:created>
  <dc:creator>Administrator</dc:creator>
  <cp:lastModifiedBy>Administrator</cp:lastModifiedBy>
  <dcterms:modified xsi:type="dcterms:W3CDTF">2025-08-27T12:56:34Z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2052-11.8.2.8875</vt:lpwstr>
  </property>
</Properties>
</file>