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spacing w:line="560" w:lineRule="exact"/>
        <w:jc w:val="center"/>
        <w:rPr>
          <w:rStyle w:val="10"/>
          <w:rFonts w:hint="eastAsia" w:ascii="方正小标宋_GBK" w:hAnsi="方正小标宋_GBK" w:eastAsia="方正小标宋_GBK" w:cs="方正小标宋_GBK"/>
          <w:b w:val="0"/>
          <w:bCs/>
          <w:color w:val="0C0C0C"/>
          <w:kern w:val="0"/>
          <w:sz w:val="44"/>
          <w:szCs w:val="44"/>
          <w:u w:val="none"/>
          <w:shd w:val="clear" w:color="auto" w:fill="FFFFFF"/>
          <w:lang w:bidi="ar"/>
        </w:rPr>
      </w:pPr>
      <w:r>
        <w:rPr>
          <w:rFonts w:hint="default" w:ascii="Nimbus Roman No9 L" w:hAnsi="Nimbus Roman No9 L" w:eastAsia="方正小标宋_GBK" w:cs="Nimbus Roman No9 L"/>
          <w:sz w:val="44"/>
          <w:szCs w:val="44"/>
          <w:u w:val="none"/>
        </w:rPr>
        <w:t>关于《</w:t>
      </w:r>
      <w:r>
        <w:rPr>
          <w:rStyle w:val="10"/>
          <w:rFonts w:hint="eastAsia" w:ascii="方正小标宋_GBK" w:hAnsi="方正小标宋_GBK" w:eastAsia="方正小标宋_GBK" w:cs="方正小标宋_GBK"/>
          <w:b w:val="0"/>
          <w:bCs/>
          <w:color w:val="0C0C0C"/>
          <w:kern w:val="0"/>
          <w:sz w:val="44"/>
          <w:szCs w:val="44"/>
          <w:u w:val="none"/>
          <w:shd w:val="clear" w:color="auto" w:fill="FFFFFF"/>
          <w:lang w:bidi="ar"/>
        </w:rPr>
        <w:t>自治州国资委监管企业混合所有制</w:t>
      </w:r>
    </w:p>
    <w:p>
      <w:pPr>
        <w:widowControl/>
        <w:wordWrap w:val="0"/>
        <w:spacing w:line="560" w:lineRule="exact"/>
        <w:jc w:val="center"/>
        <w:rPr>
          <w:rFonts w:hint="default" w:ascii="Nimbus Roman No9 L" w:hAnsi="Nimbus Roman No9 L" w:eastAsia="方正小标宋_GBK" w:cs="Nimbus Roman No9 L"/>
          <w:sz w:val="44"/>
          <w:szCs w:val="44"/>
          <w:u w:val="none"/>
        </w:rPr>
      </w:pPr>
      <w:r>
        <w:rPr>
          <w:rStyle w:val="10"/>
          <w:rFonts w:hint="eastAsia" w:ascii="方正小标宋_GBK" w:hAnsi="方正小标宋_GBK" w:eastAsia="方正小标宋_GBK" w:cs="方正小标宋_GBK"/>
          <w:b w:val="0"/>
          <w:bCs/>
          <w:color w:val="0C0C0C"/>
          <w:kern w:val="0"/>
          <w:sz w:val="44"/>
          <w:szCs w:val="44"/>
          <w:u w:val="none"/>
          <w:shd w:val="clear" w:color="auto" w:fill="FFFFFF"/>
          <w:lang w:bidi="ar"/>
        </w:rPr>
        <w:t>改革操作指引</w:t>
      </w:r>
      <w:r>
        <w:rPr>
          <w:rFonts w:hint="default" w:ascii="Nimbus Roman No9 L" w:hAnsi="Nimbus Roman No9 L" w:eastAsia="方正小标宋_GBK" w:cs="Nimbus Roman No9 L"/>
          <w:sz w:val="44"/>
          <w:szCs w:val="44"/>
          <w:u w:val="none"/>
        </w:rPr>
        <w:t>》（征求意见稿）的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u w:val="none"/>
        </w:rPr>
      </w:pPr>
      <w:r>
        <w:rPr>
          <w:rFonts w:hint="eastAsia" w:ascii="Nimbus Roman No9 L" w:hAnsi="Nimbus Roman No9 L" w:eastAsia="方正仿宋_GBK" w:cs="Nimbus Roman No9 L"/>
          <w:sz w:val="32"/>
          <w:szCs w:val="40"/>
          <w:u w:val="none"/>
          <w:lang w:val="en-US" w:eastAsia="zh-CN"/>
        </w:rPr>
        <w:t>为加强对我州国有企业</w:t>
      </w:r>
      <w:r>
        <w:rPr>
          <w:rFonts w:hint="eastAsia" w:ascii="Nimbus Roman No9 L" w:hAnsi="Nimbus Roman No9 L" w:eastAsia="方正仿宋_GBK" w:cs="Nimbus Roman No9 L"/>
          <w:color w:val="0C0C0C"/>
          <w:kern w:val="0"/>
          <w:sz w:val="32"/>
          <w:szCs w:val="32"/>
          <w:u w:val="none"/>
          <w:shd w:val="clear" w:color="auto" w:fill="FFFFFF"/>
          <w:lang w:eastAsia="zh-CN" w:bidi="ar"/>
        </w:rPr>
        <w:t>在企业混合所有制</w:t>
      </w:r>
      <w:r>
        <w:rPr>
          <w:rFonts w:hint="default" w:ascii="Nimbus Roman No9 L" w:hAnsi="Nimbus Roman No9 L" w:eastAsia="方正仿宋_GBK" w:cs="Nimbus Roman No9 L"/>
          <w:sz w:val="32"/>
          <w:szCs w:val="40"/>
          <w:u w:val="none"/>
        </w:rPr>
        <w:t>改革</w:t>
      </w:r>
      <w:r>
        <w:rPr>
          <w:rFonts w:hint="eastAsia" w:ascii="Nimbus Roman No9 L" w:hAnsi="Nimbus Roman No9 L" w:eastAsia="方正仿宋_GBK" w:cs="Nimbus Roman No9 L"/>
          <w:sz w:val="32"/>
          <w:szCs w:val="40"/>
          <w:u w:val="none"/>
          <w:lang w:eastAsia="zh-CN"/>
        </w:rPr>
        <w:t>中的管理和监督</w:t>
      </w:r>
      <w:r>
        <w:rPr>
          <w:rFonts w:hint="eastAsia" w:ascii="Nimbus Roman No9 L" w:hAnsi="Nimbus Roman No9 L" w:eastAsia="方正仿宋_GBK" w:cs="Nimbus Roman No9 L"/>
          <w:color w:val="0C0C0C"/>
          <w:kern w:val="0"/>
          <w:sz w:val="32"/>
          <w:szCs w:val="32"/>
          <w:u w:val="none"/>
          <w:shd w:val="clear" w:color="auto" w:fill="FFFFFF"/>
          <w:lang w:eastAsia="zh-CN" w:bidi="ar"/>
        </w:rPr>
        <w:t>，</w:t>
      </w:r>
      <w:r>
        <w:rPr>
          <w:rFonts w:hint="default" w:ascii="Nimbus Roman No9 L" w:hAnsi="Nimbus Roman No9 L" w:eastAsia="方正仿宋_GBK" w:cs="Nimbus Roman No9 L"/>
          <w:sz w:val="32"/>
          <w:szCs w:val="40"/>
          <w:u w:val="none"/>
        </w:rPr>
        <w:t>做到公开、公平、公正，防止国有资产流失，</w:t>
      </w:r>
      <w:r>
        <w:rPr>
          <w:rFonts w:hint="eastAsia" w:ascii="Times New Roman" w:hAnsi="Times New Roman" w:eastAsia="方正仿宋_GBK"/>
          <w:sz w:val="32"/>
          <w:szCs w:val="32"/>
          <w:u w:val="none"/>
          <w:lang w:eastAsia="zh-CN"/>
        </w:rPr>
        <w:t>我委</w:t>
      </w:r>
      <w:r>
        <w:rPr>
          <w:rFonts w:ascii="Times New Roman" w:hAnsi="Times New Roman" w:eastAsia="方正仿宋_GBK"/>
          <w:sz w:val="32"/>
          <w:szCs w:val="32"/>
          <w:u w:val="none"/>
        </w:rPr>
        <w:t>拟定了《</w:t>
      </w:r>
      <w:r>
        <w:rPr>
          <w:rFonts w:hint="eastAsia" w:ascii="Times New Roman" w:hAnsi="Times New Roman" w:eastAsia="方正仿宋_GBK"/>
          <w:sz w:val="32"/>
          <w:szCs w:val="32"/>
          <w:u w:val="none"/>
        </w:rPr>
        <w:t>自治州国资委监管企业混合所有制改革操作指引</w:t>
      </w:r>
      <w:r>
        <w:rPr>
          <w:rFonts w:ascii="Times New Roman" w:hAnsi="Times New Roman" w:eastAsia="方正仿宋_GBK"/>
          <w:sz w:val="32"/>
          <w:szCs w:val="32"/>
          <w:u w:val="none"/>
        </w:rPr>
        <w:t>》</w:t>
      </w:r>
      <w:r>
        <w:rPr>
          <w:rFonts w:hint="eastAsia" w:ascii="Times New Roman" w:hAnsi="Times New Roman" w:eastAsia="方正仿宋_GBK"/>
          <w:sz w:val="32"/>
          <w:szCs w:val="32"/>
          <w:u w:val="none"/>
          <w:lang w:eastAsia="zh-CN"/>
        </w:rPr>
        <w:t>（征求意见稿）</w:t>
      </w:r>
      <w:r>
        <w:rPr>
          <w:rFonts w:ascii="Times New Roman" w:hAnsi="Times New Roman" w:eastAsia="方正仿宋_GBK"/>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为进一步规范监管企业混合所有制改革操作行为，把好科学决策关、审计评估关、市场交易关，有效防范风险，深化市场化改革，有序发展混合所有制经济，</w:t>
      </w:r>
      <w:r>
        <w:rPr>
          <w:rFonts w:hint="eastAsia" w:ascii="Nimbus Roman No9 L" w:hAnsi="Nimbus Roman No9 L" w:eastAsia="方正仿宋_GBK" w:cs="Nimbus Roman No9 L"/>
          <w:spacing w:val="10"/>
          <w:sz w:val="32"/>
          <w:szCs w:val="32"/>
          <w:u w:val="none"/>
          <w:lang w:eastAsia="zh-CN"/>
        </w:rPr>
        <w:t>需出台</w:t>
      </w:r>
      <w:r>
        <w:rPr>
          <w:rFonts w:hint="default" w:ascii="Nimbus Roman No9 L" w:hAnsi="Nimbus Roman No9 L" w:eastAsia="方正仿宋_GBK" w:cs="Nimbus Roman No9 L"/>
          <w:spacing w:val="10"/>
          <w:sz w:val="32"/>
          <w:szCs w:val="32"/>
          <w:u w:val="none"/>
        </w:rPr>
        <w:t>本指引</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lang w:val="en" w:eastAsia="zh-CN"/>
        </w:rPr>
        <w:t>1</w:t>
      </w:r>
      <w:r>
        <w:rPr>
          <w:rFonts w:hint="eastAsia" w:ascii="Nimbus Roman No9 L" w:hAnsi="Nimbus Roman No9 L" w:eastAsia="方正仿宋_GBK" w:cs="Nimbus Roman No9 L"/>
          <w:sz w:val="32"/>
          <w:szCs w:val="40"/>
          <w:u w:val="none"/>
          <w:lang w:val="en" w:eastAsia="zh-CN"/>
        </w:rPr>
        <w:t>、</w:t>
      </w:r>
      <w:r>
        <w:rPr>
          <w:rFonts w:hint="default" w:ascii="Nimbus Roman No9 L" w:hAnsi="Nimbus Roman No9 L" w:eastAsia="方正仿宋_GBK" w:cs="Nimbus Roman No9 L"/>
          <w:sz w:val="32"/>
          <w:szCs w:val="40"/>
          <w:u w:val="none"/>
        </w:rPr>
        <w:t>《国务院关于国有企业发展混合所有制经济的意见》（国发〔2015〕54号）</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val="en-US" w:eastAsia="zh-CN"/>
        </w:rPr>
      </w:pPr>
      <w:r>
        <w:rPr>
          <w:rFonts w:hint="eastAsia" w:ascii="Nimbus Roman No9 L" w:hAnsi="Nimbus Roman No9 L" w:eastAsia="方正仿宋_GBK" w:cs="Nimbus Roman No9 L"/>
          <w:sz w:val="32"/>
          <w:szCs w:val="40"/>
          <w:u w:val="none"/>
          <w:lang w:val="en-US" w:eastAsia="zh-CN"/>
        </w:rPr>
        <w:t>2、</w:t>
      </w:r>
      <w:r>
        <w:rPr>
          <w:rFonts w:hint="default" w:ascii="Nimbus Roman No9 L" w:hAnsi="Nimbus Roman No9 L" w:eastAsia="方正仿宋_GBK" w:cs="Nimbus Roman No9 L"/>
          <w:sz w:val="32"/>
          <w:szCs w:val="40"/>
          <w:u w:val="none"/>
        </w:rPr>
        <w:t>自治区党委、人民政府《关于深化国有企业改革的实施意见》（新党发〔2017〕23号）</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eastAsia" w:ascii="Nimbus Roman No9 L" w:hAnsi="Nimbus Roman No9 L" w:eastAsia="方正仿宋_GBK" w:cs="Nimbus Roman No9 L"/>
          <w:sz w:val="32"/>
          <w:szCs w:val="40"/>
          <w:u w:val="none"/>
          <w:lang w:val="en-US" w:eastAsia="zh-CN"/>
        </w:rPr>
        <w:t>3</w:t>
      </w:r>
      <w:r>
        <w:rPr>
          <w:rFonts w:hint="default" w:ascii="Nimbus Roman No9 L" w:hAnsi="Nimbus Roman No9 L" w:eastAsia="方正仿宋_GBK" w:cs="Nimbus Roman No9 L"/>
          <w:sz w:val="32"/>
          <w:szCs w:val="40"/>
          <w:u w:val="none"/>
        </w:rPr>
        <w:t>、《关于自治区国有企业发展混合所有制经济的实施意见》（新政发〔2017〕145号）</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eastAsia" w:ascii="Nimbus Roman No9 L" w:hAnsi="Nimbus Roman No9 L" w:eastAsia="方正仿宋_GBK" w:cs="Nimbus Roman No9 L"/>
          <w:sz w:val="32"/>
          <w:szCs w:val="40"/>
          <w:u w:val="none"/>
          <w:lang w:val="en-US" w:eastAsia="zh-CN"/>
        </w:rPr>
        <w:t>4</w:t>
      </w:r>
      <w:r>
        <w:rPr>
          <w:rFonts w:hint="default" w:ascii="Nimbus Roman No9 L" w:hAnsi="Nimbus Roman No9 L" w:eastAsia="方正仿宋_GBK" w:cs="Nimbus Roman No9 L"/>
          <w:sz w:val="32"/>
          <w:szCs w:val="40"/>
          <w:u w:val="none"/>
        </w:rPr>
        <w:t>、《关于加强和改进企业国有资产监督防止国有资产流失的实施意见》（新政办发〔2018〕100号）</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val="en-US" w:eastAsia="zh-CN"/>
        </w:rPr>
      </w:pPr>
      <w:r>
        <w:rPr>
          <w:rFonts w:hint="eastAsia" w:ascii="Nimbus Roman No9 L" w:hAnsi="Nimbus Roman No9 L" w:eastAsia="方正仿宋_GBK" w:cs="Nimbus Roman No9 L"/>
          <w:sz w:val="32"/>
          <w:szCs w:val="40"/>
          <w:u w:val="none"/>
          <w:lang w:val="en-US" w:eastAsia="zh-CN"/>
        </w:rPr>
        <w:t>5</w:t>
      </w:r>
      <w:r>
        <w:rPr>
          <w:rFonts w:hint="default" w:ascii="Nimbus Roman No9 L" w:hAnsi="Nimbus Roman No9 L" w:eastAsia="方正仿宋_GBK" w:cs="Nimbus Roman No9 L"/>
          <w:sz w:val="32"/>
          <w:szCs w:val="40"/>
          <w:u w:val="none"/>
        </w:rPr>
        <w:t>、《关于国有控股混合所有制企业开展员工持股试点的实施意见》（新国资发〔2017〕473号）</w:t>
      </w:r>
      <w:r>
        <w:rPr>
          <w:rFonts w:hint="eastAsia" w:ascii="Nimbus Roman No9 L" w:hAnsi="Nimbus Roman No9 L" w:eastAsia="方正仿宋_GBK" w:cs="Nimbus Roman No9 L"/>
          <w:sz w:val="32"/>
          <w:szCs w:val="40"/>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40"/>
          <w:u w:val="none"/>
          <w:lang w:eastAsia="zh-CN"/>
        </w:rPr>
      </w:pPr>
      <w:r>
        <w:rPr>
          <w:rFonts w:hint="eastAsia" w:ascii="Nimbus Roman No9 L" w:hAnsi="Nimbus Roman No9 L" w:eastAsia="方正仿宋_GBK" w:cs="Nimbus Roman No9 L"/>
          <w:sz w:val="32"/>
          <w:szCs w:val="40"/>
          <w:u w:val="none"/>
          <w:lang w:val="en-US" w:eastAsia="zh-CN"/>
        </w:rPr>
        <w:t>6</w:t>
      </w:r>
      <w:r>
        <w:rPr>
          <w:rFonts w:hint="default" w:ascii="Nimbus Roman No9 L" w:hAnsi="Nimbus Roman No9 L" w:eastAsia="方正仿宋_GBK" w:cs="Nimbus Roman No9 L"/>
          <w:sz w:val="32"/>
          <w:szCs w:val="40"/>
          <w:u w:val="none"/>
        </w:rPr>
        <w:t>、关于印发《自治区国资委监管企业混合所有制改革操作指引》的通知（新国资办〔2020〕52号）</w:t>
      </w:r>
      <w:r>
        <w:rPr>
          <w:rFonts w:hint="eastAsia" w:ascii="Nimbus Roman No9 L" w:hAnsi="Nimbus Roman No9 L" w:eastAsia="方正仿宋_GBK" w:cs="Nimbus Roman No9 L"/>
          <w:spacing w:val="10"/>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default" w:ascii="Nimbus Roman No9 L" w:hAnsi="Nimbus Roman No9 L" w:eastAsia="方正仿宋_GBK" w:cs="Nimbus Roman No9 L"/>
          <w:sz w:val="32"/>
          <w:szCs w:val="32"/>
          <w:u w:val="none"/>
          <w:lang w:val="en-US" w:eastAsia="zh-CN"/>
        </w:rPr>
      </w:pPr>
      <w:r>
        <w:rPr>
          <w:rFonts w:hint="eastAsia" w:ascii="Nimbus Roman No9 L" w:hAnsi="Nimbus Roman No9 L" w:eastAsia="方正仿宋_GBK" w:cs="Nimbus Roman No9 L"/>
          <w:sz w:val="32"/>
          <w:szCs w:val="32"/>
          <w:u w:val="none"/>
          <w:lang w:val="en-US" w:eastAsia="zh-CN"/>
        </w:rPr>
        <w:t>依据中央、自治区国有企业发展混合所有制相关办法，我委拟定了该指引。同时，向州市场监督管理局、博州国有资产投资经营有限责任公司、博州建筑规划设计集团有限责任公司、博州赛里木湖文化旅游投资集团有限公司、博州西水水利建设有限公司、博州宾馆有限责任公司、新疆博尔塔拉大酒店有限公司，收到意见0</w:t>
      </w:r>
      <w:r>
        <w:rPr>
          <w:rFonts w:hint="eastAsia" w:ascii="Nimbus Roman No9 L" w:hAnsi="Nimbus Roman No9 L" w:eastAsia="方正仿宋_GBK" w:cs="Nimbus Roman No9 L"/>
          <w:sz w:val="32"/>
          <w:szCs w:val="32"/>
          <w:u w:val="none"/>
          <w:lang w:val="en" w:eastAsia="zh-CN"/>
        </w:rPr>
        <w:t>条</w:t>
      </w:r>
      <w:r>
        <w:rPr>
          <w:rFonts w:hint="default" w:ascii="Nimbus Roman No9 L" w:hAnsi="Nimbus Roman No9 L" w:eastAsia="方正仿宋_GBK" w:cs="Nimbus Roman No9 L"/>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eastAsia="方正仿宋_GBK"/>
          <w:u w:val="none"/>
          <w:lang w:val="en-US" w:eastAsia="zh-CN"/>
        </w:rPr>
      </w:pPr>
      <w:r>
        <w:rPr>
          <w:rFonts w:hint="eastAsia" w:ascii="Nimbus Roman No9 L" w:hAnsi="Nimbus Roman No9 L" w:eastAsia="方正仿宋_GBK" w:cs="Nimbus Roman No9 L"/>
          <w:sz w:val="32"/>
          <w:szCs w:val="32"/>
          <w:u w:val="none"/>
          <w:lang w:val="en-US" w:eastAsia="zh-CN"/>
        </w:rPr>
        <w:t>本《指引》</w:t>
      </w:r>
      <w:r>
        <w:rPr>
          <w:rFonts w:hint="eastAsia" w:ascii="Times New Roman" w:hAnsi="Times New Roman" w:eastAsia="方正仿宋_GBK"/>
          <w:sz w:val="32"/>
          <w:szCs w:val="32"/>
          <w:u w:val="none"/>
          <w:lang w:eastAsia="zh-CN"/>
        </w:rPr>
        <w:t>共</w:t>
      </w:r>
      <w:r>
        <w:rPr>
          <w:rFonts w:hint="eastAsia" w:ascii="Times New Roman" w:hAnsi="Times New Roman" w:eastAsia="方正仿宋_GBK"/>
          <w:sz w:val="32"/>
          <w:szCs w:val="32"/>
          <w:u w:val="none"/>
          <w:lang w:val="en-US" w:eastAsia="zh-CN"/>
        </w:rPr>
        <w:t>15</w:t>
      </w:r>
      <w:r>
        <w:rPr>
          <w:rFonts w:hint="eastAsia" w:ascii="Nimbus Roman No9 L" w:hAnsi="Nimbus Roman No9 L" w:eastAsia="方正仿宋_GBK" w:cs="Nimbus Roman No9 L"/>
          <w:sz w:val="32"/>
          <w:szCs w:val="32"/>
          <w:u w:val="none"/>
          <w:lang w:val="en-US" w:eastAsia="zh-CN"/>
        </w:rPr>
        <w:t>条。主要介绍了自治州国资委监管企业在制定企业发展混合所有制的适用范围和基本原则，制定了</w:t>
      </w:r>
      <w:r>
        <w:rPr>
          <w:rFonts w:hint="default" w:ascii="Nimbus Roman No9 L" w:hAnsi="Nimbus Roman No9 L" w:eastAsia="方正仿宋_GBK" w:cs="Nimbus Roman No9 L"/>
          <w:sz w:val="32"/>
          <w:szCs w:val="40"/>
          <w:u w:val="none"/>
        </w:rPr>
        <w:t>监管企业</w:t>
      </w:r>
      <w:r>
        <w:rPr>
          <w:rFonts w:hint="eastAsia" w:ascii="Nimbus Roman No9 L" w:hAnsi="Nimbus Roman No9 L" w:eastAsia="方正仿宋_GBK" w:cs="Nimbus Roman No9 L"/>
          <w:sz w:val="32"/>
          <w:szCs w:val="32"/>
          <w:u w:val="none"/>
          <w:lang w:val="en-US" w:eastAsia="zh-CN"/>
        </w:rPr>
        <w:t>混合所有制改革方案，规范了混合所有制改革流程和审批流程，规明确了对监管企业混合所有制改革的审计和评估流程，</w:t>
      </w:r>
      <w:r>
        <w:rPr>
          <w:rFonts w:hint="eastAsia" w:ascii="Nimbus Roman No9 L" w:hAnsi="Nimbus Roman No9 L" w:eastAsia="方正仿宋_GBK" w:cs="Nimbus Roman No9 L"/>
          <w:color w:val="0C0C0C"/>
          <w:kern w:val="0"/>
          <w:sz w:val="32"/>
          <w:szCs w:val="32"/>
          <w:u w:val="none"/>
          <w:shd w:val="clear" w:color="auto" w:fill="FFFFFF"/>
          <w:lang w:eastAsia="zh-CN" w:bidi="ar"/>
        </w:rPr>
        <w:t>规范了产权交易步骤和投资者选择要求，制定了股权及分红权激励和保障措施。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52"/>
          <w:u w:val="none"/>
        </w:rPr>
      </w:pPr>
      <w:r>
        <w:rPr>
          <w:rFonts w:hint="default" w:ascii="Nimbus Roman No9 L" w:hAnsi="Nimbus Roman No9 L" w:eastAsia="方正小标宋_GBK" w:cs="Nimbus Roman No9 L"/>
          <w:sz w:val="44"/>
          <w:szCs w:val="52"/>
          <w:u w:val="none"/>
        </w:rPr>
        <w:br w:type="page"/>
      </w:r>
      <w:r>
        <w:rPr>
          <w:rFonts w:hint="default" w:ascii="Nimbus Roman No9 L" w:hAnsi="Nimbus Roman No9 L" w:eastAsia="方正小标宋_GBK" w:cs="Nimbus Roman No9 L"/>
          <w:sz w:val="44"/>
          <w:szCs w:val="52"/>
          <w:u w:val="none"/>
        </w:rPr>
        <w:t>自治</w:t>
      </w:r>
      <w:r>
        <w:rPr>
          <w:rFonts w:hint="default" w:ascii="Nimbus Roman No9 L" w:hAnsi="Nimbus Roman No9 L" w:eastAsia="方正小标宋_GBK" w:cs="Nimbus Roman No9 L"/>
          <w:sz w:val="44"/>
          <w:szCs w:val="52"/>
          <w:u w:val="none"/>
          <w:lang w:eastAsia="zh-CN"/>
        </w:rPr>
        <w:t>州</w:t>
      </w:r>
      <w:r>
        <w:rPr>
          <w:rFonts w:hint="default" w:ascii="Nimbus Roman No9 L" w:hAnsi="Nimbus Roman No9 L" w:eastAsia="方正小标宋_GBK" w:cs="Nimbus Roman No9 L"/>
          <w:sz w:val="44"/>
          <w:szCs w:val="52"/>
          <w:u w:val="none"/>
        </w:rPr>
        <w:t>国资委监管企业混合所有制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52"/>
          <w:u w:val="none"/>
        </w:rPr>
      </w:pPr>
      <w:r>
        <w:rPr>
          <w:rFonts w:hint="default" w:ascii="Nimbus Roman No9 L" w:hAnsi="Nimbus Roman No9 L" w:eastAsia="方正小标宋_GBK" w:cs="Nimbus Roman No9 L"/>
          <w:sz w:val="44"/>
          <w:szCs w:val="52"/>
          <w:u w:val="none"/>
        </w:rPr>
        <w:t>改革操作指引（征求意见稿）</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为贯彻落实《国务院关于国有企业发展混合所有制经济的意见》</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国发〔2015〕54号</w:t>
      </w:r>
      <w:r>
        <w:rPr>
          <w:rFonts w:hint="default"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32"/>
          <w:u w:val="none"/>
          <w:lang w:val="en-US" w:eastAsia="zh-CN"/>
        </w:rPr>
        <w:t>自治区党委、人民政府《关于深化国有企业改革的实施意见》</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新党</w:t>
      </w:r>
      <w:r>
        <w:rPr>
          <w:rFonts w:hint="default" w:ascii="Nimbus Roman No9 L" w:hAnsi="Nimbus Roman No9 L" w:eastAsia="方正仿宋_GBK" w:cs="Nimbus Roman No9 L"/>
          <w:sz w:val="32"/>
          <w:szCs w:val="32"/>
          <w:u w:val="none"/>
        </w:rPr>
        <w:t>发〔201</w:t>
      </w:r>
      <w:r>
        <w:rPr>
          <w:rFonts w:hint="default" w:ascii="Nimbus Roman No9 L" w:hAnsi="Nimbus Roman No9 L" w:eastAsia="方正仿宋_GBK" w:cs="Nimbus Roman No9 L"/>
          <w:sz w:val="32"/>
          <w:szCs w:val="32"/>
          <w:u w:val="none"/>
          <w:lang w:val="en-US" w:eastAsia="zh-CN"/>
        </w:rPr>
        <w:t>7</w:t>
      </w:r>
      <w:r>
        <w:rPr>
          <w:rFonts w:hint="default" w:ascii="Nimbus Roman No9 L" w:hAnsi="Nimbus Roman No9 L" w:eastAsia="方正仿宋_GBK" w:cs="Nimbus Roman No9 L"/>
          <w:sz w:val="32"/>
          <w:szCs w:val="32"/>
          <w:u w:val="none"/>
        </w:rPr>
        <w:t>〕2</w:t>
      </w:r>
      <w:r>
        <w:rPr>
          <w:rFonts w:hint="default" w:ascii="Nimbus Roman No9 L" w:hAnsi="Nimbus Roman No9 L" w:eastAsia="方正仿宋_GBK" w:cs="Nimbus Roman No9 L"/>
          <w:sz w:val="32"/>
          <w:szCs w:val="32"/>
          <w:u w:val="none"/>
          <w:lang w:val="en-US" w:eastAsia="zh-CN"/>
        </w:rPr>
        <w:t>3</w:t>
      </w:r>
      <w:r>
        <w:rPr>
          <w:rFonts w:hint="default" w:ascii="Nimbus Roman No9 L" w:hAnsi="Nimbus Roman No9 L" w:eastAsia="方正仿宋_GBK" w:cs="Nimbus Roman No9 L"/>
          <w:sz w:val="32"/>
          <w:szCs w:val="32"/>
          <w:u w:val="none"/>
        </w:rPr>
        <w:t>号）</w:t>
      </w:r>
      <w:r>
        <w:rPr>
          <w:rFonts w:hint="eastAsia"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40"/>
          <w:u w:val="none"/>
        </w:rPr>
        <w:t>《关于自治区国有企业发展混合所有制经济的实施意见》</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新政发〔2017〕145号</w:t>
      </w:r>
      <w:r>
        <w:rPr>
          <w:rFonts w:hint="default"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lang w:val="en-US" w:eastAsia="zh-CN"/>
        </w:rPr>
        <w:t>关于加强和改进企业国有资产监督防止国有资产流失的实施意见</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新政办发</w:t>
      </w:r>
      <w:r>
        <w:rPr>
          <w:rFonts w:hint="default" w:ascii="Nimbus Roman No9 L" w:hAnsi="Nimbus Roman No9 L" w:eastAsia="方正仿宋_GBK" w:cs="Nimbus Roman No9 L"/>
          <w:sz w:val="32"/>
          <w:szCs w:val="32"/>
          <w:u w:val="none"/>
        </w:rPr>
        <w:t>〔201</w:t>
      </w:r>
      <w:r>
        <w:rPr>
          <w:rFonts w:hint="default" w:ascii="Nimbus Roman No9 L" w:hAnsi="Nimbus Roman No9 L" w:eastAsia="方正仿宋_GBK" w:cs="Nimbus Roman No9 L"/>
          <w:sz w:val="32"/>
          <w:szCs w:val="32"/>
          <w:u w:val="none"/>
          <w:lang w:val="en-US" w:eastAsia="zh-CN"/>
        </w:rPr>
        <w:t>8</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100</w:t>
      </w:r>
      <w:r>
        <w:rPr>
          <w:rFonts w:hint="default" w:ascii="Nimbus Roman No9 L" w:hAnsi="Nimbus Roman No9 L" w:eastAsia="方正仿宋_GBK" w:cs="Nimbus Roman No9 L"/>
          <w:sz w:val="32"/>
          <w:szCs w:val="32"/>
          <w:u w:val="none"/>
        </w:rPr>
        <w:t>号）</w:t>
      </w:r>
      <w:r>
        <w:rPr>
          <w:rFonts w:hint="eastAsia"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lang w:val="en-US" w:eastAsia="zh-CN"/>
        </w:rPr>
        <w:t>关于国有控股混合所有制企业开展员工持股试点的实施意见</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新国资发</w:t>
      </w:r>
      <w:r>
        <w:rPr>
          <w:rFonts w:hint="default" w:ascii="Nimbus Roman No9 L" w:hAnsi="Nimbus Roman No9 L" w:eastAsia="方正仿宋_GBK" w:cs="Nimbus Roman No9 L"/>
          <w:sz w:val="32"/>
          <w:szCs w:val="32"/>
          <w:u w:val="none"/>
        </w:rPr>
        <w:t>〔201</w:t>
      </w:r>
      <w:r>
        <w:rPr>
          <w:rFonts w:hint="default" w:ascii="Nimbus Roman No9 L" w:hAnsi="Nimbus Roman No9 L" w:eastAsia="方正仿宋_GBK" w:cs="Nimbus Roman No9 L"/>
          <w:sz w:val="32"/>
          <w:szCs w:val="32"/>
          <w:u w:val="none"/>
          <w:lang w:val="en-US" w:eastAsia="zh-CN"/>
        </w:rPr>
        <w:t>7</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473</w:t>
      </w:r>
      <w:r>
        <w:rPr>
          <w:rFonts w:hint="default" w:ascii="Nimbus Roman No9 L" w:hAnsi="Nimbus Roman No9 L" w:eastAsia="方正仿宋_GBK" w:cs="Nimbus Roman No9 L"/>
          <w:sz w:val="32"/>
          <w:szCs w:val="32"/>
          <w:u w:val="none"/>
        </w:rPr>
        <w:t>号）</w:t>
      </w:r>
      <w:r>
        <w:rPr>
          <w:rFonts w:hint="eastAsia"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关于印发《自治区国资委监管企业混合所有制改革操作指引》的通知</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新国资办</w:t>
      </w:r>
      <w:r>
        <w:rPr>
          <w:rFonts w:hint="default" w:ascii="Nimbus Roman No9 L" w:hAnsi="Nimbus Roman No9 L" w:eastAsia="方正仿宋_GBK" w:cs="Nimbus Roman No9 L"/>
          <w:sz w:val="32"/>
          <w:szCs w:val="32"/>
          <w:u w:val="none"/>
        </w:rPr>
        <w:t>〔20</w:t>
      </w:r>
      <w:r>
        <w:rPr>
          <w:rFonts w:hint="default" w:ascii="Nimbus Roman No9 L" w:hAnsi="Nimbus Roman No9 L" w:eastAsia="方正仿宋_GBK" w:cs="Nimbus Roman No9 L"/>
          <w:sz w:val="32"/>
          <w:szCs w:val="32"/>
          <w:u w:val="none"/>
          <w:lang w:eastAsia="zh-CN"/>
        </w:rPr>
        <w:t>20</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eastAsia="zh-CN"/>
        </w:rPr>
        <w:t>52</w:t>
      </w:r>
      <w:r>
        <w:rPr>
          <w:rFonts w:hint="default" w:ascii="Nimbus Roman No9 L" w:hAnsi="Nimbus Roman No9 L" w:eastAsia="方正仿宋_GBK" w:cs="Nimbus Roman No9 L"/>
          <w:sz w:val="32"/>
          <w:szCs w:val="32"/>
          <w:u w:val="none"/>
        </w:rPr>
        <w:t>号）等</w:t>
      </w:r>
      <w:r>
        <w:rPr>
          <w:rFonts w:hint="default" w:ascii="Nimbus Roman No9 L" w:hAnsi="Nimbus Roman No9 L" w:eastAsia="方正仿宋_GBK" w:cs="Nimbus Roman No9 L"/>
          <w:sz w:val="32"/>
          <w:szCs w:val="40"/>
          <w:u w:val="none"/>
        </w:rPr>
        <w:t>文件精神，进一步规范监管企业混合所有制改革操作行为，</w:t>
      </w:r>
      <w:r>
        <w:rPr>
          <w:rFonts w:hint="default" w:ascii="Nimbus Roman No9 L" w:hAnsi="Nimbus Roman No9 L" w:eastAsia="方正仿宋_GBK" w:cs="Nimbus Roman No9 L"/>
          <w:sz w:val="32"/>
          <w:szCs w:val="32"/>
          <w:u w:val="none"/>
        </w:rPr>
        <w:t>把好科学决策关、审计评估关、市场交易关</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40"/>
          <w:u w:val="none"/>
        </w:rPr>
        <w:t>有效防范风险，深化市场化改革，</w:t>
      </w:r>
      <w:r>
        <w:rPr>
          <w:rFonts w:hint="default" w:ascii="Nimbus Roman No9 L" w:hAnsi="Nimbus Roman No9 L" w:eastAsia="方正仿宋_GBK" w:cs="Nimbus Roman No9 L"/>
          <w:sz w:val="32"/>
          <w:szCs w:val="40"/>
          <w:u w:val="none"/>
          <w:lang w:eastAsia="zh-CN"/>
        </w:rPr>
        <w:t>有序</w:t>
      </w:r>
      <w:r>
        <w:rPr>
          <w:rFonts w:hint="default" w:ascii="Nimbus Roman No9 L" w:hAnsi="Nimbus Roman No9 L" w:eastAsia="方正仿宋_GBK" w:cs="Nimbus Roman No9 L"/>
          <w:sz w:val="32"/>
          <w:szCs w:val="40"/>
          <w:u w:val="none"/>
        </w:rPr>
        <w:t>发展混合所有制经济，特制定本指引。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40"/>
          <w:u w:val="none"/>
        </w:rPr>
      </w:pPr>
      <w:r>
        <w:rPr>
          <w:rFonts w:hint="default" w:ascii="Nimbus Roman No9 L" w:hAnsi="Nimbus Roman No9 L" w:eastAsia="方正黑体_GBK" w:cs="Nimbus Roman No9 L"/>
          <w:sz w:val="32"/>
          <w:szCs w:val="40"/>
          <w:u w:val="none"/>
        </w:rPr>
        <w:t>一、适用范围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color w:val="0C0C0C"/>
          <w:kern w:val="0"/>
          <w:sz w:val="32"/>
          <w:szCs w:val="32"/>
          <w:u w:val="none"/>
          <w:shd w:val="clear" w:color="auto" w:fill="FFFFFF"/>
          <w:lang w:eastAsia="zh-CN" w:bidi="ar"/>
        </w:rPr>
        <w:t>博尔塔拉蒙古自治州人民政府</w:t>
      </w:r>
      <w:r>
        <w:rPr>
          <w:rFonts w:hint="default" w:ascii="Nimbus Roman No9 L" w:hAnsi="Nimbus Roman No9 L" w:eastAsia="方正仿宋_GBK" w:cs="Nimbus Roman No9 L"/>
          <w:color w:val="0C0C0C"/>
          <w:kern w:val="0"/>
          <w:sz w:val="32"/>
          <w:szCs w:val="32"/>
          <w:u w:val="none"/>
          <w:shd w:val="clear" w:color="auto" w:fill="FFFFFF"/>
          <w:lang w:bidi="ar"/>
        </w:rPr>
        <w:t>国有资产监督管理委员会（以下简称州国资委）履行出资人职责的</w:t>
      </w:r>
      <w:r>
        <w:rPr>
          <w:rFonts w:hint="default" w:ascii="Nimbus Roman No9 L" w:hAnsi="Nimbus Roman No9 L" w:eastAsia="方正仿宋_GBK" w:cs="Nimbus Roman No9 L"/>
          <w:b w:val="0"/>
          <w:spacing w:val="0"/>
          <w:sz w:val="32"/>
          <w:szCs w:val="32"/>
          <w:u w:val="none"/>
          <w:lang w:eastAsia="zh-CN"/>
        </w:rPr>
        <w:t>国有独资、控股和国有实际控制企业（以下简称监管企业），</w:t>
      </w:r>
      <w:r>
        <w:rPr>
          <w:rFonts w:hint="default" w:ascii="Nimbus Roman No9 L" w:hAnsi="Nimbus Roman No9 L" w:eastAsia="方正仿宋_GBK" w:cs="Nimbus Roman No9 L"/>
          <w:sz w:val="32"/>
          <w:szCs w:val="40"/>
          <w:u w:val="none"/>
        </w:rPr>
        <w:t>通过</w:t>
      </w:r>
      <w:r>
        <w:rPr>
          <w:rFonts w:hint="default" w:ascii="Nimbus Roman No9 L" w:hAnsi="Nimbus Roman No9 L" w:eastAsia="方正仿宋_GBK" w:cs="Nimbus Roman No9 L"/>
          <w:sz w:val="32"/>
          <w:szCs w:val="40"/>
          <w:u w:val="none"/>
          <w:lang w:eastAsia="zh-CN"/>
        </w:rPr>
        <w:t>股</w:t>
      </w:r>
      <w:r>
        <w:rPr>
          <w:rFonts w:hint="default" w:ascii="Nimbus Roman No9 L" w:hAnsi="Nimbus Roman No9 L" w:eastAsia="方正仿宋_GBK" w:cs="Nimbus Roman No9 L"/>
          <w:sz w:val="32"/>
          <w:szCs w:val="40"/>
          <w:u w:val="none"/>
        </w:rPr>
        <w:t>权转让、增资扩股、投资并购、出资新设、</w:t>
      </w:r>
      <w:r>
        <w:rPr>
          <w:rFonts w:hint="default" w:ascii="Nimbus Roman No9 L" w:hAnsi="Nimbus Roman No9 L" w:eastAsia="方正仿宋_GBK" w:cs="Nimbus Roman No9 L"/>
          <w:sz w:val="32"/>
          <w:szCs w:val="40"/>
          <w:u w:val="none"/>
          <w:lang w:eastAsia="zh-CN"/>
        </w:rPr>
        <w:t>股权出资新设、</w:t>
      </w:r>
      <w:r>
        <w:rPr>
          <w:rFonts w:hint="default" w:ascii="Nimbus Roman No9 L" w:hAnsi="Nimbus Roman No9 L" w:eastAsia="方正仿宋_GBK" w:cs="Nimbus Roman No9 L"/>
          <w:sz w:val="32"/>
          <w:szCs w:val="40"/>
          <w:u w:val="none"/>
        </w:rPr>
        <w:t>上市重组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包括首发上市和上市公司资产重组、发行证券、资产注入、吸收合并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等方式实施混合所有制改革，适用本指引。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32"/>
          <w:u w:val="none"/>
        </w:rPr>
        <w:t>县</w:t>
      </w:r>
      <w:r>
        <w:rPr>
          <w:rFonts w:hint="default" w:ascii="Nimbus Roman No9 L" w:hAnsi="Nimbus Roman No9 L" w:eastAsia="方正仿宋_GBK" w:cs="Nimbus Roman No9 L"/>
          <w:sz w:val="32"/>
          <w:szCs w:val="32"/>
          <w:u w:val="none"/>
          <w:lang w:val="en-US" w:eastAsia="zh-CN"/>
        </w:rPr>
        <w:t>市国资部门监管</w:t>
      </w:r>
      <w:r>
        <w:rPr>
          <w:rFonts w:hint="default" w:ascii="Nimbus Roman No9 L" w:hAnsi="Nimbus Roman No9 L" w:eastAsia="方正仿宋_GBK" w:cs="Nimbus Roman No9 L"/>
          <w:sz w:val="32"/>
          <w:szCs w:val="32"/>
          <w:u w:val="none"/>
        </w:rPr>
        <w:t>国有企业混合所有制改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val="en-US" w:eastAsia="zh-CN"/>
        </w:rPr>
        <w:t>可</w:t>
      </w:r>
      <w:r>
        <w:rPr>
          <w:rFonts w:hint="default" w:ascii="Nimbus Roman No9 L" w:hAnsi="Nimbus Roman No9 L" w:eastAsia="方正仿宋_GBK" w:cs="Nimbus Roman No9 L"/>
          <w:sz w:val="32"/>
          <w:szCs w:val="32"/>
          <w:u w:val="none"/>
        </w:rPr>
        <w:t>参照本指引操作。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40"/>
          <w:u w:val="none"/>
        </w:rPr>
      </w:pPr>
      <w:r>
        <w:rPr>
          <w:rFonts w:hint="default" w:ascii="Nimbus Roman No9 L" w:hAnsi="Nimbus Roman No9 L" w:eastAsia="方正黑体_GBK" w:cs="Nimbus Roman No9 L"/>
          <w:sz w:val="32"/>
          <w:szCs w:val="40"/>
          <w:u w:val="none"/>
        </w:rPr>
        <w:t>二、基本原则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40"/>
          <w:u w:val="none"/>
        </w:rPr>
      </w:pPr>
      <w:r>
        <w:rPr>
          <w:rFonts w:hint="default" w:ascii="Nimbus Roman No9 L" w:hAnsi="Nimbus Roman No9 L" w:eastAsia="方正楷体_GBK" w:cs="Nimbus Roman No9 L"/>
          <w:sz w:val="32"/>
          <w:szCs w:val="40"/>
          <w:u w:val="none"/>
          <w:lang w:eastAsia="zh-CN"/>
        </w:rPr>
        <w:t>㈠</w:t>
      </w:r>
      <w:r>
        <w:rPr>
          <w:rFonts w:hint="default" w:ascii="Nimbus Roman No9 L" w:hAnsi="Nimbus Roman No9 L" w:eastAsia="方正楷体_GBK" w:cs="Nimbus Roman No9 L"/>
          <w:sz w:val="32"/>
          <w:szCs w:val="40"/>
          <w:u w:val="none"/>
          <w:lang w:val="en-US" w:eastAsia="zh-CN"/>
        </w:rPr>
        <w:t xml:space="preserve"> </w:t>
      </w:r>
      <w:r>
        <w:rPr>
          <w:rFonts w:hint="default" w:ascii="Nimbus Roman No9 L" w:hAnsi="Nimbus Roman No9 L" w:eastAsia="方正楷体_GBK" w:cs="Nimbus Roman No9 L"/>
          <w:sz w:val="32"/>
          <w:szCs w:val="40"/>
          <w:u w:val="none"/>
        </w:rPr>
        <w:t>依法依规，维护权益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监管企业要严格执行国有资本定价机制和交易规则，做到公开、公平、公正，防止国有资产流失。严格保护产权、维护契约，切实维护各类出资人的合法权益，调动各类资本参与企业混合所有制改革的积极性。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40"/>
          <w:u w:val="none"/>
          <w:lang w:eastAsia="zh-CN"/>
        </w:rPr>
      </w:pPr>
      <w:r>
        <w:rPr>
          <w:rFonts w:hint="default" w:ascii="Nimbus Roman No9 L" w:hAnsi="Nimbus Roman No9 L" w:eastAsia="方正楷体_GBK" w:cs="Nimbus Roman No9 L"/>
          <w:sz w:val="32"/>
          <w:szCs w:val="40"/>
          <w:u w:val="none"/>
          <w:lang w:eastAsia="zh-CN"/>
        </w:rPr>
        <w:t>㈡</w:t>
      </w:r>
      <w:r>
        <w:rPr>
          <w:rFonts w:hint="default" w:ascii="Nimbus Roman No9 L" w:hAnsi="Nimbus Roman No9 L" w:eastAsia="方正楷体_GBK" w:cs="Nimbus Roman No9 L"/>
          <w:sz w:val="32"/>
          <w:szCs w:val="40"/>
          <w:u w:val="none"/>
          <w:lang w:val="en-US" w:eastAsia="zh-CN"/>
        </w:rPr>
        <w:t xml:space="preserve"> </w:t>
      </w:r>
      <w:r>
        <w:rPr>
          <w:rFonts w:hint="default" w:ascii="Nimbus Roman No9 L" w:hAnsi="Nimbus Roman No9 L" w:eastAsia="方正楷体_GBK" w:cs="Nimbus Roman No9 L"/>
          <w:sz w:val="32"/>
          <w:szCs w:val="40"/>
          <w:u w:val="none"/>
          <w:lang w:eastAsia="zh-CN"/>
        </w:rPr>
        <w:t>以混促改、激发活力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监管企业要以“混资本”与“改机制”并重为原则，既要放大国有资本功能，提高国有资本运营效率，又要坚持问题导向科学选择改革路径，发挥好战略投资者的功能，构建市场化经营机制，充分激发企业内生动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40"/>
          <w:u w:val="none"/>
          <w:lang w:eastAsia="zh-CN"/>
        </w:rPr>
      </w:pPr>
      <w:r>
        <w:rPr>
          <w:rFonts w:hint="default" w:ascii="Nimbus Roman No9 L" w:hAnsi="Nimbus Roman No9 L" w:eastAsia="方正楷体_GBK" w:cs="Nimbus Roman No9 L"/>
          <w:sz w:val="32"/>
          <w:szCs w:val="40"/>
          <w:u w:val="none"/>
          <w:lang w:eastAsia="zh-CN"/>
        </w:rPr>
        <w:t>㈢</w:t>
      </w:r>
      <w:r>
        <w:rPr>
          <w:rFonts w:hint="default" w:ascii="Nimbus Roman No9 L" w:hAnsi="Nimbus Roman No9 L" w:eastAsia="方正楷体_GBK" w:cs="Nimbus Roman No9 L"/>
          <w:sz w:val="32"/>
          <w:szCs w:val="40"/>
          <w:u w:val="none"/>
          <w:lang w:val="en-US" w:eastAsia="zh-CN"/>
        </w:rPr>
        <w:t xml:space="preserve"> </w:t>
      </w:r>
      <w:r>
        <w:rPr>
          <w:rFonts w:hint="default" w:ascii="Nimbus Roman No9 L" w:hAnsi="Nimbus Roman No9 L" w:eastAsia="方正楷体_GBK" w:cs="Nimbus Roman No9 L"/>
          <w:sz w:val="32"/>
          <w:szCs w:val="40"/>
          <w:u w:val="none"/>
          <w:lang w:eastAsia="zh-CN"/>
        </w:rPr>
        <w:t>分类分层、有序推进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监管企业要坚持分类分层，系统推进竞争类企业混改，重点突破集团层面混改；坚持因地施策、因业施策，因企施策，宜独则独、宜参则参，不搞拉郎配，不搞全覆盖，不设时间表，一企一策，成熟一个推进一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40"/>
          <w:u w:val="none"/>
        </w:rPr>
      </w:pPr>
      <w:r>
        <w:rPr>
          <w:rFonts w:hint="default" w:ascii="Nimbus Roman No9 L" w:hAnsi="Nimbus Roman No9 L" w:eastAsia="方正楷体_GBK" w:cs="Nimbus Roman No9 L"/>
          <w:sz w:val="32"/>
          <w:szCs w:val="40"/>
          <w:u w:val="none"/>
          <w:lang w:eastAsia="zh-CN"/>
        </w:rPr>
        <w:t>㈣</w:t>
      </w:r>
      <w:r>
        <w:rPr>
          <w:rFonts w:hint="default" w:ascii="Nimbus Roman No9 L" w:hAnsi="Nimbus Roman No9 L" w:eastAsia="方正楷体_GBK" w:cs="Nimbus Roman No9 L"/>
          <w:sz w:val="32"/>
          <w:szCs w:val="40"/>
          <w:u w:val="none"/>
          <w:lang w:val="en-US" w:eastAsia="zh-CN"/>
        </w:rPr>
        <w:t xml:space="preserve"> </w:t>
      </w:r>
      <w:r>
        <w:rPr>
          <w:rFonts w:hint="default" w:ascii="Nimbus Roman No9 L" w:hAnsi="Nimbus Roman No9 L" w:eastAsia="方正楷体_GBK" w:cs="Nimbus Roman No9 L"/>
          <w:sz w:val="32"/>
          <w:szCs w:val="40"/>
          <w:u w:val="none"/>
        </w:rPr>
        <w:t>加强党建，强化保障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坚持党的领导作为深化国有企业改革必须坚守的政治方向和政治原则，切实履行各级党组织领导责任，充分发挥把关定向作用，确保党的领导、党的建设在混合所有制改革中得到充分体现和切实加强。加强对混合所有制改革思路和重要举措的研究论证，抓好顶层设计、科学决策、有效执行、全程监督，确保国有资本的保值增值，切实维护好职工的正当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40"/>
          <w:u w:val="none"/>
        </w:rPr>
      </w:pPr>
      <w:r>
        <w:rPr>
          <w:rFonts w:hint="default" w:ascii="Nimbus Roman No9 L" w:hAnsi="Nimbus Roman No9 L" w:eastAsia="方正黑体_GBK" w:cs="Nimbus Roman No9 L"/>
          <w:sz w:val="32"/>
          <w:szCs w:val="40"/>
          <w:u w:val="none"/>
        </w:rPr>
        <w:t>三、制定混合所有制改革方案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㈠</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必要性与可行性分析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1.必要性方面。监管企业混合所有制改革应当具有以下部分或全部意义：有利于优化资源配置，推动技术创新，扩大市场占有率，提高企业经营业绩和核心竞争能力；有利于完善法人治理结构，实现企业体制机制改革创新；有利于国有资本保值增值，放大国有资本功能，增强国有经济活力、控制力、影响力和抗风险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2.可行性方面。监管企业混合所有制改革应当同时符合以下条件：符合国家</w:t>
      </w:r>
      <w:r>
        <w:rPr>
          <w:rFonts w:hint="default" w:ascii="Nimbus Roman No9 L" w:hAnsi="Nimbus Roman No9 L" w:eastAsia="方正仿宋_GBK" w:cs="Nimbus Roman No9 L"/>
          <w:sz w:val="32"/>
          <w:szCs w:val="40"/>
          <w:u w:val="none"/>
          <w:lang w:eastAsia="zh-CN"/>
        </w:rPr>
        <w:t>、自治区、自治州</w:t>
      </w:r>
      <w:r>
        <w:rPr>
          <w:rFonts w:hint="default" w:ascii="Nimbus Roman No9 L" w:hAnsi="Nimbus Roman No9 L" w:eastAsia="方正仿宋_GBK" w:cs="Nimbus Roman No9 L"/>
          <w:sz w:val="32"/>
          <w:szCs w:val="40"/>
          <w:u w:val="none"/>
        </w:rPr>
        <w:t>关于国有企业混合所有制改革的法律、法规和政策规定；符合行业发展趋势、企业发展规律和市场经济规则；具备混合所有制改革条件，改革方案操作性较强。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㈡</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方案内容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除必要性和可性行分析外，混合所有制改革方案包括以下内容：企业基本情况、混合所有制改革的目的、形式与路径、投资者选择条件、重大资产处置、重要品牌管理、改革后企业股权结构、法人治理结构、党组织建设方案、国有股东代表管理、经营管控模式、员工激励计划、债权债务处理、职工安置方案、历史遗留问题解决方案、中介机构选聘、方案实施计划、法律意见书等内容</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㈢</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职工安置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监管企业开展混合所有制改革应当根据《劳动法》《劳动合同法》等有关法律法规规定妥善处理劳动关系,确保职工队伍稳定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涉及在职职工劳动合同变更、解除、重新签订以及离退休人员、内退人员管理方式和管理费用承担方式变更等职工安置事项的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工会必须参与职工安置方案制定过程,安置方案须经职工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代表</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大会审议通过后实施</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㈣</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合理设定股权比例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坚持一企一策优化股权结构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除</w:t>
      </w:r>
      <w:r>
        <w:rPr>
          <w:rFonts w:hint="default" w:ascii="Nimbus Roman No9 L" w:hAnsi="Nimbus Roman No9 L" w:eastAsia="方正仿宋_GBK" w:cs="Nimbus Roman No9 L"/>
          <w:sz w:val="32"/>
          <w:szCs w:val="40"/>
          <w:u w:val="none"/>
          <w:lang w:eastAsia="zh-CN"/>
        </w:rPr>
        <w:t>自治州</w:t>
      </w:r>
      <w:r>
        <w:rPr>
          <w:rFonts w:hint="default" w:ascii="Nimbus Roman No9 L" w:hAnsi="Nimbus Roman No9 L" w:eastAsia="方正仿宋_GBK" w:cs="Nimbus Roman No9 L"/>
          <w:sz w:val="32"/>
          <w:szCs w:val="40"/>
          <w:u w:val="none"/>
        </w:rPr>
        <w:t>要求的战略性持股、主业涉及重要行业、关键领域以及支撑自治</w:t>
      </w:r>
      <w:r>
        <w:rPr>
          <w:rFonts w:hint="default"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功能定位的企业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混合所有制改革后应当保证国有股东控股地位外</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不设国有股权持股比例限制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宜控则控</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宜参则参</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通过上市重组方式深化混合所有制改革的还应当按照《上市公司国有股权监督管理办法》</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国务院国资委</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财政部</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中国证监会令第36号</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要求合理设置持股比例</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妥善处理好国有股东地位和市场融资的关系</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切实维护国有股东利益</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32"/>
          <w:u w:val="none"/>
          <w:lang w:eastAsia="zh-CN"/>
        </w:rPr>
      </w:pPr>
      <w:r>
        <w:rPr>
          <w:rFonts w:hint="eastAsia" w:ascii="Nimbus Roman No9 L" w:hAnsi="Nimbus Roman No9 L" w:eastAsia="方正黑体_GBK" w:cs="Nimbus Roman No9 L"/>
          <w:sz w:val="32"/>
          <w:szCs w:val="32"/>
          <w:u w:val="none"/>
          <w:lang w:eastAsia="zh-CN"/>
        </w:rPr>
        <w:t>四</w:t>
      </w:r>
      <w:r>
        <w:rPr>
          <w:rFonts w:hint="default" w:ascii="Nimbus Roman No9 L" w:hAnsi="Nimbus Roman No9 L" w:eastAsia="方正黑体_GBK" w:cs="Nimbus Roman No9 L"/>
          <w:sz w:val="32"/>
          <w:szCs w:val="32"/>
          <w:u w:val="none"/>
        </w:rPr>
        <w:t>、</w:t>
      </w:r>
      <w:r>
        <w:rPr>
          <w:rFonts w:hint="default" w:ascii="Nimbus Roman No9 L" w:hAnsi="Nimbus Roman No9 L" w:eastAsia="方正黑体_GBK" w:cs="Nimbus Roman No9 L"/>
          <w:sz w:val="32"/>
          <w:szCs w:val="32"/>
          <w:u w:val="none"/>
          <w:lang w:eastAsia="zh-CN"/>
        </w:rPr>
        <w:t>规范内部决策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监管</w:t>
      </w:r>
      <w:r>
        <w:rPr>
          <w:rFonts w:hint="default" w:ascii="Nimbus Roman No9 L" w:hAnsi="Nimbus Roman No9 L" w:eastAsia="方正仿宋_GBK" w:cs="Nimbus Roman No9 L"/>
          <w:sz w:val="32"/>
          <w:szCs w:val="32"/>
          <w:u w:val="none"/>
        </w:rPr>
        <w:t>企业混合所有制改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流程，一般包括制订改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方案、履行决策程序、开展审计评估、实施产权交易、办理变更登记等五个主要环节。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1.制订改</w:t>
      </w:r>
      <w:r>
        <w:rPr>
          <w:rFonts w:hint="default" w:ascii="Nimbus Roman No9 L" w:hAnsi="Nimbus Roman No9 L" w:eastAsia="方正仿宋_GBK" w:cs="Nimbus Roman No9 L"/>
          <w:b/>
          <w:bCs/>
          <w:sz w:val="32"/>
          <w:szCs w:val="32"/>
          <w:u w:val="none"/>
          <w:lang w:eastAsia="zh-CN"/>
        </w:rPr>
        <w:t>革</w:t>
      </w:r>
      <w:r>
        <w:rPr>
          <w:rFonts w:hint="default" w:ascii="Nimbus Roman No9 L" w:hAnsi="Nimbus Roman No9 L" w:eastAsia="方正仿宋_GBK" w:cs="Nimbus Roman No9 L"/>
          <w:b/>
          <w:bCs/>
          <w:sz w:val="32"/>
          <w:szCs w:val="32"/>
          <w:u w:val="none"/>
        </w:rPr>
        <w:t>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企业做好改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必要性与可行性研究，制订改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2.履行决策程序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按照法律法规、公司章程及企业内部管理规定，履行</w:t>
      </w:r>
      <w:r>
        <w:rPr>
          <w:rFonts w:hint="default" w:ascii="Nimbus Roman No9 L" w:hAnsi="Nimbus Roman No9 L" w:eastAsia="方正仿宋_GBK" w:cs="Nimbus Roman No9 L"/>
          <w:sz w:val="32"/>
          <w:szCs w:val="32"/>
          <w:u w:val="none"/>
          <w:lang w:val="en-US" w:eastAsia="zh-Hans"/>
        </w:rPr>
        <w:t>企业内部</w:t>
      </w:r>
      <w:r>
        <w:rPr>
          <w:rFonts w:hint="default" w:ascii="Nimbus Roman No9 L" w:hAnsi="Nimbus Roman No9 L" w:eastAsia="方正仿宋_GBK" w:cs="Nimbus Roman No9 L"/>
          <w:sz w:val="32"/>
          <w:szCs w:val="32"/>
          <w:u w:val="none"/>
        </w:rPr>
        <w:t>决策程序。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3.开展审计评估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拟混改企业的资产范围确定后，</w:t>
      </w:r>
      <w:r>
        <w:rPr>
          <w:rFonts w:hint="default" w:ascii="Nimbus Roman No9 L" w:hAnsi="Nimbus Roman No9 L" w:eastAsia="方正仿宋_GBK" w:cs="Nimbus Roman No9 L"/>
          <w:sz w:val="32"/>
          <w:szCs w:val="32"/>
          <w:u w:val="none"/>
          <w:lang w:val="en-US" w:eastAsia="zh-CN"/>
        </w:rPr>
        <w:t>依据有关规定，</w:t>
      </w:r>
      <w:r>
        <w:rPr>
          <w:rFonts w:hint="default" w:ascii="Nimbus Roman No9 L" w:hAnsi="Nimbus Roman No9 L" w:eastAsia="方正仿宋_GBK" w:cs="Nimbus Roman No9 L"/>
          <w:sz w:val="32"/>
          <w:szCs w:val="32"/>
          <w:u w:val="none"/>
        </w:rPr>
        <w:t>公开选聘符合条件的中介机构，开展财务审计、资产评估工作，并履行项目备案或核准手续。同时做好职工民主程序与劳动关系处理、合法合规审核、社会稳定风险分析与评估等相关工作。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4.实施产权交易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做好产权交易准备工作，实施进场交易，完成产权交割。</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5.办理变更登记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做好国有产权、工商变更登记等事宜。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32"/>
          <w:u w:val="none"/>
          <w:lang w:eastAsia="zh-CN"/>
        </w:rPr>
      </w:pPr>
      <w:r>
        <w:rPr>
          <w:rFonts w:hint="eastAsia" w:ascii="Nimbus Roman No9 L" w:hAnsi="Nimbus Roman No9 L" w:eastAsia="方正黑体_GBK" w:cs="Nimbus Roman No9 L"/>
          <w:sz w:val="32"/>
          <w:szCs w:val="32"/>
          <w:u w:val="none"/>
          <w:lang w:val="en-US" w:eastAsia="zh-CN"/>
        </w:rPr>
        <w:t>五</w:t>
      </w:r>
      <w:r>
        <w:rPr>
          <w:rFonts w:hint="default" w:ascii="Nimbus Roman No9 L" w:hAnsi="Nimbus Roman No9 L" w:eastAsia="方正黑体_GBK" w:cs="Nimbus Roman No9 L"/>
          <w:sz w:val="32"/>
          <w:szCs w:val="32"/>
          <w:u w:val="none"/>
          <w:lang w:eastAsia="zh-CN"/>
        </w:rPr>
        <w:t>、履行审批程序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监管</w:t>
      </w:r>
      <w:r>
        <w:rPr>
          <w:rFonts w:hint="default" w:ascii="Nimbus Roman No9 L" w:hAnsi="Nimbus Roman No9 L" w:eastAsia="方正仿宋_GBK" w:cs="Nimbus Roman No9 L"/>
          <w:sz w:val="32"/>
          <w:szCs w:val="32"/>
          <w:u w:val="none"/>
        </w:rPr>
        <w:t>企业混合所有制改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，要按照把加强党的领导和完善公司治理统一起来的总体要求，规范决策程序，增强决策透明度，确保企业改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工作科学决策、民主决策、依法决策。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监管</w:t>
      </w:r>
      <w:r>
        <w:rPr>
          <w:rFonts w:hint="default" w:ascii="Nimbus Roman No9 L" w:hAnsi="Nimbus Roman No9 L" w:eastAsia="方正仿宋_GBK" w:cs="Nimbus Roman No9 L"/>
          <w:sz w:val="32"/>
          <w:szCs w:val="32"/>
          <w:u w:val="none"/>
        </w:rPr>
        <w:t>企业混合所有制改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要坚持分类分层推进，因业决策、因企决策，宜控则控、宜参则参；要以促进各类所有制经济相互融合、共同发展为导向，实现发展混合所有制经济与优化国资布局结构、实施开放性市场化联合重组相结合，与推动国资有序流动、盘活用好国有资产相结合，与完善公司治理结构、建立健全现代企业制度相结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lang w:eastAsia="zh-CN"/>
        </w:rPr>
      </w:pPr>
      <w:r>
        <w:rPr>
          <w:rFonts w:hint="default" w:ascii="Nimbus Roman No9 L" w:hAnsi="Nimbus Roman No9 L" w:eastAsia="方正楷体_GBK" w:cs="Nimbus Roman No9 L"/>
          <w:sz w:val="32"/>
          <w:szCs w:val="40"/>
          <w:u w:val="none"/>
          <w:lang w:val="en-US" w:eastAsia="zh-CN"/>
        </w:rPr>
        <w:t>㈠</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lang w:val="en-US" w:eastAsia="zh-CN"/>
        </w:rPr>
        <w:t>直</w:t>
      </w:r>
      <w:r>
        <w:rPr>
          <w:rFonts w:hint="default" w:ascii="Nimbus Roman No9 L" w:hAnsi="Nimbus Roman No9 L" w:eastAsia="方正楷体_GBK" w:cs="Nimbus Roman No9 L"/>
          <w:sz w:val="32"/>
          <w:szCs w:val="32"/>
          <w:u w:val="none"/>
        </w:rPr>
        <w:t>管企业改制</w:t>
      </w:r>
      <w:r>
        <w:rPr>
          <w:rFonts w:hint="default" w:ascii="Nimbus Roman No9 L" w:hAnsi="Nimbus Roman No9 L" w:eastAsia="方正楷体_GBK" w:cs="Nimbus Roman No9 L"/>
          <w:sz w:val="32"/>
          <w:szCs w:val="32"/>
          <w:u w:val="none"/>
          <w:lang w:eastAsia="zh-CN"/>
        </w:rPr>
        <w:t>（</w:t>
      </w:r>
      <w:r>
        <w:rPr>
          <w:rFonts w:hint="default" w:ascii="Nimbus Roman No9 L" w:hAnsi="Nimbus Roman No9 L" w:eastAsia="方正楷体_GBK" w:cs="Nimbus Roman No9 L"/>
          <w:sz w:val="32"/>
          <w:szCs w:val="32"/>
          <w:u w:val="none"/>
          <w:lang w:val="en-US" w:eastAsia="zh-CN"/>
        </w:rPr>
        <w:t>一级企业</w:t>
      </w:r>
      <w:r>
        <w:rPr>
          <w:rFonts w:hint="default" w:ascii="Nimbus Roman No9 L" w:hAnsi="Nimbus Roman No9 L" w:eastAsia="方正楷体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管企业，指</w:t>
      </w:r>
      <w:r>
        <w:rPr>
          <w:rFonts w:hint="default" w:ascii="Nimbus Roman No9 L" w:hAnsi="Nimbus Roman No9 L" w:eastAsia="方正仿宋_GBK" w:cs="Nimbus Roman No9 L"/>
          <w:sz w:val="32"/>
          <w:szCs w:val="32"/>
          <w:u w:val="none"/>
          <w:lang w:val="en-US" w:eastAsia="zh-CN"/>
        </w:rPr>
        <w:t>州国资委直接</w:t>
      </w:r>
      <w:r>
        <w:rPr>
          <w:rFonts w:hint="default" w:ascii="Nimbus Roman No9 L" w:hAnsi="Nimbus Roman No9 L" w:eastAsia="方正仿宋_GBK" w:cs="Nimbus Roman No9 L"/>
          <w:sz w:val="32"/>
          <w:szCs w:val="32"/>
          <w:u w:val="none"/>
        </w:rPr>
        <w:t>监管的企业（即一级企业）。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，包括</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转让</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管企业股权（即股权转让）和</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管企业增加或减少资本、合并、分立、组织形式改变等改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（即非股权转让）。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1.决策主体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⑴股权转让。由</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决策后报</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政府同意。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⑵非股权转让。企业履行内部决策程序后报</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，由</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决策后报</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政府同意。其中，股权结构多元化的</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，还须通过股东（大）会形成决议。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国资委出资的委托监管企业的改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，由委托监管机构联合</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国资委报</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政府或通过</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国资委转报</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2.申报材料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⑴股权转让。由</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向</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⑵非股权转让。由企业向</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申报。申报材料主要包括改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方案、企业内部决策文件等。其中，改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方案应包括企业基本情况、改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目的、改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后企业组织形式、股权结构</w:t>
      </w:r>
      <w:r>
        <w:rPr>
          <w:rFonts w:hint="default" w:ascii="Nimbus Roman No9 L" w:hAnsi="Nimbus Roman No9 L" w:eastAsia="方正仿宋_GBK" w:cs="Nimbus Roman No9 L"/>
          <w:sz w:val="32"/>
          <w:szCs w:val="32"/>
          <w:u w:val="none"/>
          <w:lang w:val="en-US" w:eastAsia="zh-Hans"/>
        </w:rPr>
        <w:t>设置</w:t>
      </w:r>
      <w:r>
        <w:rPr>
          <w:rFonts w:hint="default" w:ascii="Nimbus Roman No9 L" w:hAnsi="Nimbus Roman No9 L" w:eastAsia="方正仿宋_GBK" w:cs="Nimbus Roman No9 L"/>
          <w:sz w:val="32"/>
          <w:szCs w:val="32"/>
          <w:u w:val="none"/>
        </w:rPr>
        <w:t>、投资者条件、法人治理结构、资产和债权债务处理、职工安置、中介机构选聘、实施计划等内容。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㈡</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lang w:val="en-US" w:eastAsia="zh-CN"/>
        </w:rPr>
        <w:t>直</w:t>
      </w:r>
      <w:r>
        <w:rPr>
          <w:rFonts w:hint="default" w:ascii="Nimbus Roman No9 L" w:hAnsi="Nimbus Roman No9 L" w:eastAsia="方正楷体_GBK" w:cs="Nimbus Roman No9 L"/>
          <w:sz w:val="32"/>
          <w:szCs w:val="32"/>
          <w:u w:val="none"/>
        </w:rPr>
        <w:t>管企业所属企业改</w:t>
      </w:r>
      <w:r>
        <w:rPr>
          <w:rFonts w:hint="default" w:ascii="Nimbus Roman No9 L" w:hAnsi="Nimbus Roman No9 L" w:eastAsia="方正楷体_GBK" w:cs="Nimbus Roman No9 L"/>
          <w:sz w:val="32"/>
          <w:szCs w:val="32"/>
          <w:u w:val="none"/>
          <w:lang w:eastAsia="zh-CN"/>
        </w:rPr>
        <w:t>革（</w:t>
      </w:r>
      <w:r>
        <w:rPr>
          <w:rFonts w:hint="default" w:ascii="Nimbus Roman No9 L" w:hAnsi="Nimbus Roman No9 L" w:eastAsia="方正楷体_GBK" w:cs="Nimbus Roman No9 L"/>
          <w:sz w:val="32"/>
          <w:szCs w:val="32"/>
          <w:u w:val="none"/>
          <w:lang w:val="en-US" w:eastAsia="zh-CN"/>
        </w:rPr>
        <w:t>二级或三级企业</w:t>
      </w:r>
      <w:r>
        <w:rPr>
          <w:rFonts w:hint="default" w:ascii="Nimbus Roman No9 L" w:hAnsi="Nimbus Roman No9 L" w:eastAsia="方正楷体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lang w:val="en-US" w:eastAsia="zh-CN"/>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w:t>
      </w:r>
      <w:r>
        <w:rPr>
          <w:rFonts w:hint="default" w:ascii="Nimbus Roman No9 L" w:hAnsi="Nimbus Roman No9 L" w:eastAsia="方正仿宋_GBK" w:cs="Nimbus Roman No9 L"/>
          <w:sz w:val="32"/>
          <w:szCs w:val="32"/>
          <w:u w:val="none"/>
          <w:lang w:val="en-US" w:eastAsia="zh-CN"/>
        </w:rPr>
        <w:t>所属企业</w:t>
      </w:r>
      <w:r>
        <w:rPr>
          <w:rFonts w:hint="default" w:ascii="Nimbus Roman No9 L" w:hAnsi="Nimbus Roman No9 L" w:eastAsia="方正仿宋_GBK" w:cs="Nimbus Roman No9 L"/>
          <w:sz w:val="32"/>
          <w:szCs w:val="32"/>
          <w:u w:val="none"/>
        </w:rPr>
        <w:t>，指</w:t>
      </w:r>
      <w:r>
        <w:rPr>
          <w:rFonts w:hint="default" w:ascii="Nimbus Roman No9 L" w:hAnsi="Nimbus Roman No9 L" w:eastAsia="方正仿宋_GBK" w:cs="Nimbus Roman No9 L"/>
          <w:sz w:val="32"/>
          <w:szCs w:val="32"/>
          <w:u w:val="none"/>
          <w:lang w:val="en-US" w:eastAsia="zh-CN"/>
        </w:rPr>
        <w:t>州国资委直接</w:t>
      </w:r>
      <w:r>
        <w:rPr>
          <w:rFonts w:hint="default" w:ascii="Nimbus Roman No9 L" w:hAnsi="Nimbus Roman No9 L" w:eastAsia="方正仿宋_GBK" w:cs="Nimbus Roman No9 L"/>
          <w:sz w:val="32"/>
          <w:szCs w:val="32"/>
          <w:u w:val="none"/>
        </w:rPr>
        <w:t>监管的企业</w:t>
      </w:r>
      <w:r>
        <w:rPr>
          <w:rFonts w:hint="default" w:ascii="Nimbus Roman No9 L" w:hAnsi="Nimbus Roman No9 L" w:eastAsia="方正仿宋_GBK" w:cs="Nimbus Roman No9 L"/>
          <w:sz w:val="32"/>
          <w:szCs w:val="32"/>
          <w:u w:val="none"/>
          <w:lang w:val="en-US" w:eastAsia="zh-CN"/>
        </w:rPr>
        <w:t>出资的子企业</w:t>
      </w:r>
      <w:r>
        <w:rPr>
          <w:rFonts w:hint="default" w:ascii="Nimbus Roman No9 L" w:hAnsi="Nimbus Roman No9 L" w:eastAsia="方正仿宋_GBK" w:cs="Nimbus Roman No9 L"/>
          <w:sz w:val="32"/>
          <w:szCs w:val="32"/>
          <w:u w:val="none"/>
        </w:rPr>
        <w:t>（即</w:t>
      </w:r>
      <w:r>
        <w:rPr>
          <w:rFonts w:hint="default" w:ascii="Nimbus Roman No9 L" w:hAnsi="Nimbus Roman No9 L" w:eastAsia="方正仿宋_GBK" w:cs="Nimbus Roman No9 L"/>
          <w:sz w:val="32"/>
          <w:szCs w:val="32"/>
          <w:u w:val="none"/>
          <w:lang w:val="en-US" w:eastAsia="zh-CN"/>
        </w:rPr>
        <w:t>二</w:t>
      </w:r>
      <w:r>
        <w:rPr>
          <w:rFonts w:hint="default" w:ascii="Nimbus Roman No9 L" w:hAnsi="Nimbus Roman No9 L" w:eastAsia="方正仿宋_GBK" w:cs="Nimbus Roman No9 L"/>
          <w:sz w:val="32"/>
          <w:szCs w:val="32"/>
          <w:u w:val="none"/>
        </w:rPr>
        <w:t>级</w:t>
      </w:r>
      <w:r>
        <w:rPr>
          <w:rFonts w:hint="default" w:ascii="Nimbus Roman No9 L" w:hAnsi="Nimbus Roman No9 L" w:eastAsia="方正仿宋_GBK" w:cs="Nimbus Roman No9 L"/>
          <w:sz w:val="32"/>
          <w:szCs w:val="32"/>
          <w:u w:val="none"/>
          <w:lang w:val="en-US" w:eastAsia="zh-CN"/>
        </w:rPr>
        <w:t>企业</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lang w:val="en-US" w:eastAsia="zh-CN"/>
        </w:rPr>
        <w:t>或三级企业。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1.决策主体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管企业所属企业改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，由</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管企业按照</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谁决策、谁负责</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的原则，分级落实责任主体。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其中，</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管企业重要子企业重大改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，由</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管企业决策。</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管企业在作出决定或通过股东大会进行表决前，应将改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方案报</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重要子企业，指开展</w:t>
      </w:r>
      <w:r>
        <w:rPr>
          <w:rFonts w:hint="default" w:ascii="Nimbus Roman No9 L" w:hAnsi="Nimbus Roman No9 L" w:eastAsia="方正仿宋_GBK" w:cs="Nimbus Roman No9 L"/>
          <w:sz w:val="32"/>
          <w:szCs w:val="32"/>
          <w:u w:val="none"/>
          <w:lang w:val="en-US" w:eastAsia="zh-CN"/>
        </w:rPr>
        <w:t>一级</w:t>
      </w:r>
      <w:r>
        <w:rPr>
          <w:rFonts w:hint="default" w:ascii="Nimbus Roman No9 L" w:hAnsi="Nimbus Roman No9 L" w:eastAsia="方正仿宋_GBK" w:cs="Nimbus Roman No9 L"/>
          <w:sz w:val="32"/>
          <w:szCs w:val="32"/>
          <w:u w:val="none"/>
        </w:rPr>
        <w:t>监管企业的主营业务的实际运营，并且由其直接管理和控制的重要经营单位。重要子企业由</w:t>
      </w:r>
      <w:r>
        <w:rPr>
          <w:rFonts w:hint="default" w:ascii="Nimbus Roman No9 L" w:hAnsi="Nimbus Roman No9 L" w:eastAsia="方正仿宋_GBK" w:cs="Nimbus Roman No9 L"/>
          <w:sz w:val="32"/>
          <w:szCs w:val="32"/>
          <w:u w:val="none"/>
          <w:lang w:val="en-US" w:eastAsia="zh-CN"/>
        </w:rPr>
        <w:t>直接</w:t>
      </w:r>
      <w:r>
        <w:rPr>
          <w:rFonts w:hint="default" w:ascii="Nimbus Roman No9 L" w:hAnsi="Nimbus Roman No9 L" w:eastAsia="方正仿宋_GBK" w:cs="Nimbus Roman No9 L"/>
          <w:sz w:val="32"/>
          <w:szCs w:val="32"/>
          <w:u w:val="none"/>
        </w:rPr>
        <w:t>监管企业研究确定，报</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w:t>
      </w:r>
      <w:r>
        <w:rPr>
          <w:rFonts w:hint="default" w:ascii="Nimbus Roman No9 L" w:hAnsi="Nimbus Roman No9 L" w:eastAsia="方正仿宋_GBK" w:cs="Nimbus Roman No9 L"/>
          <w:sz w:val="32"/>
          <w:szCs w:val="32"/>
          <w:u w:val="none"/>
          <w:lang w:val="en-US" w:eastAsia="zh-CN"/>
        </w:rPr>
        <w:t>委</w:t>
      </w:r>
      <w:r>
        <w:rPr>
          <w:rFonts w:hint="default" w:ascii="Nimbus Roman No9 L" w:hAnsi="Nimbus Roman No9 L" w:eastAsia="方正仿宋_GBK" w:cs="Nimbus Roman No9 L"/>
          <w:sz w:val="32"/>
          <w:szCs w:val="32"/>
          <w:u w:val="none"/>
        </w:rPr>
        <w:t>备案。重要子企业重大改制，指</w:t>
      </w:r>
      <w:r>
        <w:rPr>
          <w:rFonts w:hint="default" w:ascii="Nimbus Roman No9 L" w:hAnsi="Nimbus Roman No9 L" w:eastAsia="方正仿宋_GBK" w:cs="Nimbus Roman No9 L"/>
          <w:sz w:val="32"/>
          <w:szCs w:val="32"/>
          <w:u w:val="none"/>
          <w:lang w:val="en-US" w:eastAsia="zh-CN"/>
        </w:rPr>
        <w:t>直接监</w:t>
      </w:r>
      <w:r>
        <w:rPr>
          <w:rFonts w:hint="default" w:ascii="Nimbus Roman No9 L" w:hAnsi="Nimbus Roman No9 L" w:eastAsia="方正仿宋_GBK" w:cs="Nimbus Roman No9 L"/>
          <w:sz w:val="32"/>
          <w:szCs w:val="32"/>
          <w:u w:val="none"/>
        </w:rPr>
        <w:t>管企业转让其重要子企业股权，或重要子企业因合并、分立、增加或减少注册资本等，致使国有股权失去控制地位的事项。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2.监管责任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管企业应制定和完善所属企业改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的监管制度，明确决策主体、决策程序等事项，切实把好科学决策关、审计评估关、市场交易关，并指导监督所属企业规范操作。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㈢</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战略投资者选择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企业混合所有制改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引入投资者时，原则上应引入战略投资者，必要时也可引入财务投资者。提倡引入多个投资者，以优化股权结构和法人治理。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㈣</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合适战略投资者的基本条件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1.</w:t>
      </w:r>
      <w:r>
        <w:rPr>
          <w:rFonts w:hint="default" w:ascii="Nimbus Roman No9 L" w:hAnsi="Nimbus Roman No9 L" w:eastAsia="方正仿宋_GBK" w:cs="Nimbus Roman No9 L"/>
          <w:sz w:val="32"/>
          <w:szCs w:val="32"/>
          <w:u w:val="none"/>
        </w:rPr>
        <w:t>依法诚信经营，具有良好的市场声誉；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2.</w:t>
      </w:r>
      <w:r>
        <w:rPr>
          <w:rFonts w:hint="default" w:ascii="Nimbus Roman No9 L" w:hAnsi="Nimbus Roman No9 L" w:eastAsia="方正仿宋_GBK" w:cs="Nimbus Roman No9 L"/>
          <w:sz w:val="32"/>
          <w:szCs w:val="32"/>
          <w:u w:val="none"/>
        </w:rPr>
        <w:t>具有产业链或价值链关联，能与企业形成协同效应；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3.</w:t>
      </w:r>
      <w:r>
        <w:rPr>
          <w:rFonts w:hint="default" w:ascii="Nimbus Roman No9 L" w:hAnsi="Nimbus Roman No9 L" w:eastAsia="方正仿宋_GBK" w:cs="Nimbus Roman No9 L"/>
          <w:sz w:val="32"/>
          <w:szCs w:val="32"/>
          <w:u w:val="none"/>
        </w:rPr>
        <w:t>契合企业发展需要，能在资源、技术、管理、市场等方面帮助企业突破发展瓶颈，形成发展机遇；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4.</w:t>
      </w:r>
      <w:r>
        <w:rPr>
          <w:rFonts w:hint="default" w:ascii="Nimbus Roman No9 L" w:hAnsi="Nimbus Roman No9 L" w:eastAsia="方正仿宋_GBK" w:cs="Nimbus Roman No9 L"/>
          <w:sz w:val="32"/>
          <w:szCs w:val="32"/>
          <w:u w:val="none"/>
        </w:rPr>
        <w:t>兼顾其他因素，如企业文化理念相近，认同企业发展战略，行业地位优势明显等。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㈤</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公司章程管理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管企业实施混合所有制改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的，其章程的制定或修改，由</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管企业代表</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与其他股东进行协商，报</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审核通过后，提交股东（大）会审议。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val="en-US" w:eastAsia="zh-CN"/>
        </w:rPr>
        <w:t>直管</w:t>
      </w:r>
      <w:r>
        <w:rPr>
          <w:rFonts w:hint="default" w:ascii="Nimbus Roman No9 L" w:hAnsi="Nimbus Roman No9 L" w:eastAsia="方正仿宋_GBK" w:cs="Nimbus Roman No9 L"/>
          <w:sz w:val="32"/>
          <w:szCs w:val="32"/>
          <w:u w:val="none"/>
        </w:rPr>
        <w:t>企业所属企业章程的制定或修改，按照</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管企业内部管理规定操作。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32"/>
          <w:u w:val="none"/>
        </w:rPr>
      </w:pPr>
      <w:r>
        <w:rPr>
          <w:rFonts w:hint="eastAsia" w:ascii="Nimbus Roman No9 L" w:hAnsi="Nimbus Roman No9 L" w:eastAsia="方正黑体_GBK" w:cs="Nimbus Roman No9 L"/>
          <w:sz w:val="32"/>
          <w:szCs w:val="32"/>
          <w:u w:val="none"/>
          <w:lang w:val="en-US" w:eastAsia="zh-CN"/>
        </w:rPr>
        <w:t>六</w:t>
      </w:r>
      <w:r>
        <w:rPr>
          <w:rFonts w:hint="default" w:ascii="Nimbus Roman No9 L" w:hAnsi="Nimbus Roman No9 L" w:eastAsia="方正黑体_GBK" w:cs="Nimbus Roman No9 L"/>
          <w:sz w:val="32"/>
          <w:szCs w:val="32"/>
          <w:u w:val="none"/>
        </w:rPr>
        <w:t>、</w:t>
      </w:r>
      <w:r>
        <w:rPr>
          <w:rFonts w:hint="default" w:ascii="Nimbus Roman No9 L" w:hAnsi="Nimbus Roman No9 L" w:eastAsia="方正黑体_GBK" w:cs="Nimbus Roman No9 L"/>
          <w:sz w:val="32"/>
          <w:szCs w:val="32"/>
          <w:u w:val="none"/>
          <w:lang w:eastAsia="zh-CN"/>
        </w:rPr>
        <w:t>开展</w:t>
      </w:r>
      <w:r>
        <w:rPr>
          <w:rFonts w:hint="default" w:ascii="Nimbus Roman No9 L" w:hAnsi="Nimbus Roman No9 L" w:eastAsia="方正黑体_GBK" w:cs="Nimbus Roman No9 L"/>
          <w:sz w:val="32"/>
          <w:szCs w:val="32"/>
          <w:u w:val="none"/>
        </w:rPr>
        <w:t>审计评估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㈠</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财务审计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做好财务审计工作，重点关注以下几个关键环节：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1.审计委托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审计委托应按照</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公开、公平、公正</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原则，选聘符合</w:t>
      </w:r>
      <w:r>
        <w:rPr>
          <w:rFonts w:hint="default" w:ascii="Nimbus Roman No9 L" w:hAnsi="Nimbus Roman No9 L" w:eastAsia="方正仿宋_GBK" w:cs="Nimbus Roman No9 L"/>
          <w:sz w:val="32"/>
          <w:szCs w:val="32"/>
          <w:u w:val="none"/>
          <w:lang w:val="en-US" w:eastAsia="zh-CN"/>
        </w:rPr>
        <w:t>要求</w:t>
      </w:r>
      <w:r>
        <w:rPr>
          <w:rFonts w:hint="default" w:ascii="Nimbus Roman No9 L" w:hAnsi="Nimbus Roman No9 L" w:eastAsia="方正仿宋_GBK" w:cs="Nimbus Roman No9 L"/>
          <w:sz w:val="32"/>
          <w:szCs w:val="32"/>
          <w:u w:val="none"/>
        </w:rPr>
        <w:t>的会计师事务所，</w:t>
      </w:r>
      <w:r>
        <w:rPr>
          <w:rFonts w:hint="default" w:ascii="Nimbus Roman No9 L" w:hAnsi="Nimbus Roman No9 L" w:eastAsia="方正仿宋_GBK" w:cs="Nimbus Roman No9 L"/>
          <w:sz w:val="32"/>
          <w:szCs w:val="32"/>
          <w:u w:val="none"/>
          <w:lang w:val="en-US" w:eastAsia="zh-CN"/>
        </w:rPr>
        <w:t>委托主体</w:t>
      </w:r>
      <w:r>
        <w:rPr>
          <w:rFonts w:hint="default" w:ascii="Nimbus Roman No9 L" w:hAnsi="Nimbus Roman No9 L" w:eastAsia="方正仿宋_GBK" w:cs="Nimbus Roman No9 L"/>
          <w:sz w:val="32"/>
          <w:szCs w:val="32"/>
          <w:u w:val="none"/>
        </w:rPr>
        <w:t>原则上是改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企业的国有产权持有单位，</w:t>
      </w:r>
      <w:r>
        <w:rPr>
          <w:rFonts w:hint="default" w:ascii="Nimbus Roman No9 L" w:hAnsi="Nimbus Roman No9 L" w:eastAsia="方正仿宋_GBK" w:cs="Nimbus Roman No9 L"/>
          <w:sz w:val="32"/>
          <w:szCs w:val="32"/>
          <w:u w:val="none"/>
          <w:lang w:val="en-US" w:eastAsia="zh-CN"/>
        </w:rPr>
        <w:t>特殊情况下委托主体可为改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lang w:val="en-US" w:eastAsia="zh-CN"/>
        </w:rPr>
        <w:t>企业。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2.审计范围和审计重点事项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财务审计应以企业改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方案确定的资产评估基准日作为审计基准日，并按照《企业会计准则》编制两年又一期的财务报表（包括改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企业合并范围的所有子公司）。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财务审计重点关注涉及改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资产边界界定的审计事项，如合并报表的范围、账外资产、不良资产、无形资产、无须偿还的债务、承诺及或有事项等，以及会计政策变更的合理性及对净资产的影响等。</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3.审计报告及披露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财务审计报告应当重点关注审计事项披露的完整性和真实性，重点披露改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审计结果与年度报告的差异、资产减值准备计提情况、预提的应由原企业职工享受的离退休补贴以及土地出让形成的专项资金等情况。同时，应结合改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工作要求做到</w:t>
      </w:r>
      <w:r>
        <w:rPr>
          <w:rFonts w:hint="default"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w:t>
      </w:r>
      <w:r>
        <w:rPr>
          <w:rFonts w:hint="default" w:ascii="Nimbus Roman No9 L" w:hAnsi="Nimbus Roman No9 L" w:eastAsia="方正仿宋_GBK" w:cs="Nimbus Roman No9 L"/>
          <w:sz w:val="32"/>
          <w:szCs w:val="32"/>
          <w:u w:val="none"/>
          <w:lang w:val="en-US" w:eastAsia="zh-CN"/>
        </w:rPr>
        <w:t>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企业及其控股二级子企业，应出具两年又一期审计报告，包括合并及母公司报表；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⑵三级及以下控股子企业可以提供经审计机构盖章的两年又一期的审定表；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⑶基准日后发生重大资产变动的，应出具模拟资产变动后的审计报告，但模拟事项需在评估备案前完成，模拟事项的审计报告原则上追溯两年又一期；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⑷涉及盈利预测的，须按照评估工作要求提供盈利预测报告。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4.审核和备案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在改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审计过程中，</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管企业应加强与</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的沟通。改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审计实施前，应将经批准的改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方案、财务审计工作方案、审计备案表及选聘会计师事务所资质证明等材料报</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备案。改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审计实施中，涉及改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审计的重大事项应及时与</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沟通。审计报告应由</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管企业内审部门审核后，报</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企业监事会应了解审计工作情况，审计报告等材料应抄送监事会。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㈡</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资产评估</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1.管理主体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⑴经</w:t>
      </w:r>
      <w:r>
        <w:rPr>
          <w:rFonts w:hint="default" w:ascii="Nimbus Roman No9 L" w:hAnsi="Nimbus Roman No9 L" w:eastAsia="方正仿宋_GBK" w:cs="Nimbus Roman No9 L"/>
          <w:sz w:val="32"/>
          <w:szCs w:val="32"/>
          <w:u w:val="none"/>
          <w:lang w:val="en-US" w:eastAsia="zh-CN"/>
        </w:rPr>
        <w:t>州人民</w:t>
      </w:r>
      <w:r>
        <w:rPr>
          <w:rFonts w:hint="default" w:ascii="Nimbus Roman No9 L" w:hAnsi="Nimbus Roman No9 L" w:eastAsia="方正仿宋_GBK" w:cs="Nimbus Roman No9 L"/>
          <w:sz w:val="32"/>
          <w:szCs w:val="32"/>
          <w:u w:val="none"/>
        </w:rPr>
        <w:t>政府批准实施的混合所有制改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涉及的资产评估项目，由</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国资委负责核准。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⑵经</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国资委批准的混合所有制改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涉及的资产评估项目，由</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国资委负责备案。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⑶经</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国资委同意的</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管企业及其各级子企业批准的混合所有制改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涉及的资产评估项目，由</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管企业负责备案。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⑷经委托监管单位及其监管企业和各级子企业批准的混合所有制改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涉及的资产评估项目，由委托监管单位负责备案。</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lang w:val="en-US" w:eastAsia="zh-CN"/>
        </w:rPr>
      </w:pPr>
      <w:r>
        <w:rPr>
          <w:rFonts w:hint="default" w:ascii="Nimbus Roman No9 L" w:hAnsi="Nimbus Roman No9 L" w:eastAsia="方正仿宋_GBK" w:cs="Nimbus Roman No9 L"/>
          <w:b/>
          <w:bCs/>
          <w:sz w:val="32"/>
          <w:szCs w:val="32"/>
          <w:u w:val="none"/>
        </w:rPr>
        <w:t>2.评估机构委托</w:t>
      </w:r>
      <w:r>
        <w:rPr>
          <w:rFonts w:hint="default" w:ascii="Nimbus Roman No9 L" w:hAnsi="Nimbus Roman No9 L" w:eastAsia="方正仿宋_GBK" w:cs="Nimbus Roman No9 L"/>
          <w:b/>
          <w:bCs/>
          <w:sz w:val="32"/>
          <w:szCs w:val="32"/>
          <w:u w:val="none"/>
          <w:lang w:eastAsia="zh-CN"/>
        </w:rPr>
        <w:t>、</w:t>
      </w:r>
      <w:r>
        <w:rPr>
          <w:rFonts w:hint="default" w:ascii="Nimbus Roman No9 L" w:hAnsi="Nimbus Roman No9 L" w:eastAsia="方正仿宋_GBK" w:cs="Nimbus Roman No9 L"/>
          <w:b/>
          <w:bCs/>
          <w:sz w:val="32"/>
          <w:szCs w:val="32"/>
          <w:u w:val="none"/>
          <w:lang w:val="en-US" w:eastAsia="zh-CN"/>
        </w:rPr>
        <w:t>选聘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由</w:t>
      </w:r>
      <w:r>
        <w:rPr>
          <w:rFonts w:hint="default" w:ascii="Nimbus Roman No9 L" w:hAnsi="Nimbus Roman No9 L" w:eastAsia="方正仿宋_GBK" w:cs="Nimbus Roman No9 L"/>
          <w:sz w:val="32"/>
          <w:szCs w:val="32"/>
          <w:u w:val="none"/>
          <w:lang w:eastAsia="zh-CN"/>
        </w:rPr>
        <w:t>企业</w:t>
      </w:r>
      <w:r>
        <w:rPr>
          <w:rFonts w:hint="default" w:ascii="Nimbus Roman No9 L" w:hAnsi="Nimbus Roman No9 L" w:eastAsia="方正仿宋_GBK" w:cs="Nimbus Roman No9 L"/>
          <w:sz w:val="32"/>
          <w:szCs w:val="32"/>
          <w:u w:val="none"/>
          <w:lang w:val="en-US" w:eastAsia="zh-CN"/>
        </w:rPr>
        <w:t>按相关要求委托</w:t>
      </w:r>
      <w:r>
        <w:rPr>
          <w:rFonts w:hint="default" w:ascii="Nimbus Roman No9 L" w:hAnsi="Nimbus Roman No9 L" w:eastAsia="方正仿宋_GBK" w:cs="Nimbus Roman No9 L"/>
          <w:sz w:val="32"/>
          <w:szCs w:val="32"/>
          <w:u w:val="none"/>
        </w:rPr>
        <w:t>符合</w:t>
      </w:r>
      <w:r>
        <w:rPr>
          <w:rFonts w:hint="default" w:ascii="Nimbus Roman No9 L" w:hAnsi="Nimbus Roman No9 L" w:eastAsia="方正仿宋_GBK" w:cs="Nimbus Roman No9 L"/>
          <w:sz w:val="32"/>
          <w:szCs w:val="32"/>
          <w:u w:val="none"/>
          <w:lang w:val="en-US" w:eastAsia="zh-CN"/>
        </w:rPr>
        <w:t>要求</w:t>
      </w:r>
      <w:r>
        <w:rPr>
          <w:rFonts w:hint="default" w:ascii="Nimbus Roman No9 L" w:hAnsi="Nimbus Roman No9 L" w:eastAsia="方正仿宋_GBK" w:cs="Nimbus Roman No9 L"/>
          <w:sz w:val="32"/>
          <w:szCs w:val="32"/>
          <w:u w:val="none"/>
        </w:rPr>
        <w:t>的评估机构。涉及多个国有产权持有单位的，经协商一致可由国有股最大股东委托。</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w:t>
      </w:r>
      <w:r>
        <w:rPr>
          <w:rFonts w:hint="default" w:ascii="Nimbus Roman No9 L" w:hAnsi="Nimbus Roman No9 L" w:eastAsia="方正仿宋_GBK" w:cs="Nimbus Roman No9 L"/>
          <w:sz w:val="32"/>
          <w:szCs w:val="32"/>
          <w:u w:val="none"/>
          <w:lang w:val="en-US" w:eastAsia="zh-CN"/>
        </w:rPr>
        <w:t>所属企业</w:t>
      </w:r>
      <w:r>
        <w:rPr>
          <w:rFonts w:hint="default" w:ascii="Nimbus Roman No9 L" w:hAnsi="Nimbus Roman No9 L" w:eastAsia="方正仿宋_GBK" w:cs="Nimbus Roman No9 L"/>
          <w:sz w:val="32"/>
          <w:szCs w:val="32"/>
          <w:u w:val="none"/>
        </w:rPr>
        <w:t>产权变动的，可由</w:t>
      </w:r>
      <w:r>
        <w:rPr>
          <w:rFonts w:hint="default"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rPr>
        <w:t>国资委授权</w:t>
      </w:r>
      <w:r>
        <w:rPr>
          <w:rFonts w:hint="default" w:ascii="Nimbus Roman No9 L" w:hAnsi="Nimbus Roman No9 L" w:eastAsia="方正仿宋_GBK" w:cs="Nimbus Roman No9 L"/>
          <w:sz w:val="32"/>
          <w:szCs w:val="32"/>
          <w:u w:val="none"/>
          <w:lang w:val="en-US" w:eastAsia="zh-CN"/>
        </w:rPr>
        <w:t>直</w:t>
      </w:r>
      <w:r>
        <w:rPr>
          <w:rFonts w:hint="default" w:ascii="Nimbus Roman No9 L" w:hAnsi="Nimbus Roman No9 L" w:eastAsia="方正仿宋_GBK" w:cs="Nimbus Roman No9 L"/>
          <w:sz w:val="32"/>
          <w:szCs w:val="32"/>
          <w:u w:val="none"/>
        </w:rPr>
        <w:t>管企业委托。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一般可从年度候选资产评估机构中选聘，重大项目可单独进行招投标。如委托方需要选聘两个及以上资产评估机构的，应选定其中一家作为牵头机构，组织协调评估工作。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lang w:val="en-US" w:eastAsia="zh-CN"/>
        </w:rPr>
        <w:t>3</w:t>
      </w:r>
      <w:r>
        <w:rPr>
          <w:rFonts w:hint="default" w:ascii="Nimbus Roman No9 L" w:hAnsi="Nimbus Roman No9 L" w:eastAsia="方正仿宋_GBK" w:cs="Nimbus Roman No9 L"/>
          <w:b/>
          <w:bCs/>
          <w:sz w:val="32"/>
          <w:szCs w:val="32"/>
          <w:u w:val="none"/>
        </w:rPr>
        <w:t>.评估基准日确定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⑴由委托方与评估机构协商确定，尽可能与评估目的</w:t>
      </w:r>
      <w:r>
        <w:rPr>
          <w:rFonts w:hint="default" w:ascii="Nimbus Roman No9 L" w:hAnsi="Nimbus Roman No9 L" w:eastAsia="方正仿宋_GBK" w:cs="Nimbus Roman No9 L"/>
          <w:sz w:val="32"/>
          <w:szCs w:val="32"/>
          <w:u w:val="none"/>
          <w:lang w:eastAsia="zh-CN"/>
        </w:rPr>
        <w:t>的</w:t>
      </w:r>
      <w:r>
        <w:rPr>
          <w:rFonts w:hint="default" w:ascii="Nimbus Roman No9 L" w:hAnsi="Nimbus Roman No9 L" w:eastAsia="方正仿宋_GBK" w:cs="Nimbus Roman No9 L"/>
          <w:sz w:val="32"/>
          <w:szCs w:val="32"/>
          <w:u w:val="none"/>
        </w:rPr>
        <w:t>实现日接近。原则上应采用评估机构进场前一个月的月末为评估基准日，否则应说明原因。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⑵评估基准日期后发生重大资产或国家政策等调整事项，致使评估结果无法有效地服务于评估目的的，应调整评估基准日或评估结果。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lang w:val="en-US" w:eastAsia="zh-CN"/>
        </w:rPr>
        <w:t>4</w:t>
      </w:r>
      <w:r>
        <w:rPr>
          <w:rFonts w:hint="default" w:ascii="Nimbus Roman No9 L" w:hAnsi="Nimbus Roman No9 L" w:eastAsia="方正仿宋_GBK" w:cs="Nimbus Roman No9 L"/>
          <w:b/>
          <w:bCs/>
          <w:sz w:val="32"/>
          <w:szCs w:val="32"/>
          <w:u w:val="none"/>
        </w:rPr>
        <w:t>.重要事项处理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⑴评估方案。评估机构进场后，委托方应及时向核准或备案单位提供评估方案。评估方案应明确评估目的、范围、评估方法等重要事项。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⑵土地使用权评估事项。</w:t>
      </w: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涉及土地使用权的，应按照《国务院办公厅转发国资委关于进一步规范国有企业改制工作实施意见的通知》（国办发〔2005〕60号）有关要求，进行土地确权登记并明确土地使用权的处置方式。划拨、空转土地使用权在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前应按照国家有关规定办理土地有偿使用手续，由</w:t>
      </w:r>
      <w:r>
        <w:rPr>
          <w:rFonts w:hint="default" w:ascii="Nimbus Roman No9 L" w:hAnsi="Nimbus Roman No9 L" w:eastAsia="方正仿宋_GBK" w:cs="Nimbus Roman No9 L"/>
          <w:sz w:val="32"/>
          <w:szCs w:val="32"/>
          <w:u w:val="none"/>
          <w:lang w:eastAsia="zh-CN"/>
        </w:rPr>
        <w:t>州</w:t>
      </w:r>
      <w:r>
        <w:rPr>
          <w:rFonts w:hint="default" w:ascii="Nimbus Roman No9 L" w:hAnsi="Nimbus Roman No9 L" w:eastAsia="方正仿宋_GBK" w:cs="Nimbus Roman No9 L"/>
          <w:sz w:val="32"/>
          <w:szCs w:val="32"/>
          <w:u w:val="none"/>
        </w:rPr>
        <w:t>县</w:t>
      </w:r>
      <w:r>
        <w:rPr>
          <w:rFonts w:hint="default" w:ascii="Nimbus Roman No9 L" w:hAnsi="Nimbus Roman No9 L" w:eastAsia="方正仿宋_GBK" w:cs="Nimbus Roman No9 L"/>
          <w:sz w:val="32"/>
          <w:szCs w:val="32"/>
          <w:u w:val="none"/>
          <w:lang w:eastAsia="zh-CN"/>
        </w:rPr>
        <w:t>（市）</w:t>
      </w:r>
      <w:r>
        <w:rPr>
          <w:rFonts w:hint="default" w:ascii="Nimbus Roman No9 L" w:hAnsi="Nimbus Roman No9 L" w:eastAsia="方正仿宋_GBK" w:cs="Nimbus Roman No9 L"/>
          <w:sz w:val="32"/>
          <w:szCs w:val="32"/>
          <w:u w:val="none"/>
        </w:rPr>
        <w:t>土地管理部门组织开展地价市场评估，经</w:t>
      </w:r>
      <w:r>
        <w:rPr>
          <w:rFonts w:hint="default" w:ascii="Nimbus Roman No9 L" w:hAnsi="Nimbus Roman No9 L" w:eastAsia="方正仿宋_GBK" w:cs="Nimbus Roman No9 L"/>
          <w:sz w:val="32"/>
          <w:szCs w:val="32"/>
          <w:u w:val="none"/>
          <w:lang w:eastAsia="zh-CN"/>
        </w:rPr>
        <w:t>州</w:t>
      </w:r>
      <w:r>
        <w:rPr>
          <w:rFonts w:hint="default" w:ascii="Nimbus Roman No9 L" w:hAnsi="Nimbus Roman No9 L" w:eastAsia="方正仿宋_GBK" w:cs="Nimbus Roman No9 L"/>
          <w:sz w:val="32"/>
          <w:szCs w:val="32"/>
          <w:u w:val="none"/>
        </w:rPr>
        <w:t>县</w:t>
      </w:r>
      <w:r>
        <w:rPr>
          <w:rFonts w:hint="default" w:ascii="Nimbus Roman No9 L" w:hAnsi="Nimbus Roman No9 L" w:eastAsia="方正仿宋_GBK" w:cs="Nimbus Roman No9 L"/>
          <w:sz w:val="32"/>
          <w:szCs w:val="32"/>
          <w:u w:val="none"/>
          <w:lang w:eastAsia="zh-CN"/>
        </w:rPr>
        <w:t>（市）</w:t>
      </w:r>
      <w:r>
        <w:rPr>
          <w:rFonts w:hint="default" w:ascii="Nimbus Roman No9 L" w:hAnsi="Nimbus Roman No9 L" w:eastAsia="方正仿宋_GBK" w:cs="Nimbus Roman No9 L"/>
          <w:sz w:val="32"/>
          <w:szCs w:val="32"/>
          <w:u w:val="none"/>
        </w:rPr>
        <w:t>政府集体决策确定土地出让价款，签订土地出让合同。</w:t>
      </w: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企业价值评估中应根据出让土地使用权证或土地出让合同确认土地权属、性质和出让金。对确实无法办理出让的划拨、空转土地使用权，</w:t>
      </w: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企业应与土地管理部门沟通明确处置方式。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⑶长期投资评估事项。控股、参股子企业均应进行股权价值评估。参股子企业如评估程序受到限制，可以对企业采取调查、管理层访谈等了解企业财务及经营情况，依靠股东提供资料、审计报告等相关资料分析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⑷职工安置费用评估事项。对于解除或终止劳动合同的职工的经济补偿、离退休人员、内退人员有关费用等职工安置费用，按照</w:t>
      </w:r>
      <w:r>
        <w:rPr>
          <w:rFonts w:hint="default" w:ascii="Nimbus Roman No9 L" w:hAnsi="Nimbus Roman No9 L" w:eastAsia="方正仿宋_GBK" w:cs="Nimbus Roman No9 L"/>
          <w:sz w:val="32"/>
          <w:szCs w:val="32"/>
          <w:u w:val="none"/>
          <w:lang w:val="en-US" w:eastAsia="zh-CN"/>
        </w:rPr>
        <w:t>有关规定</w:t>
      </w:r>
      <w:r>
        <w:rPr>
          <w:rFonts w:hint="default" w:ascii="Nimbus Roman No9 L" w:hAnsi="Nimbus Roman No9 L" w:eastAsia="方正仿宋_GBK" w:cs="Nimbus Roman No9 L"/>
          <w:sz w:val="32"/>
          <w:szCs w:val="32"/>
          <w:u w:val="none"/>
        </w:rPr>
        <w:t>处理。职工安置费用的确定须经</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或</w:t>
      </w:r>
      <w:r>
        <w:rPr>
          <w:rFonts w:hint="default" w:ascii="Nimbus Roman No9 L" w:hAnsi="Nimbus Roman No9 L" w:eastAsia="方正仿宋_GBK" w:cs="Nimbus Roman No9 L"/>
          <w:sz w:val="32"/>
          <w:szCs w:val="32"/>
          <w:u w:val="none"/>
          <w:lang w:val="en-US" w:eastAsia="zh-CN"/>
        </w:rPr>
        <w:t>直管</w:t>
      </w:r>
      <w:r>
        <w:rPr>
          <w:rFonts w:hint="default" w:ascii="Nimbus Roman No9 L" w:hAnsi="Nimbus Roman No9 L" w:eastAsia="方正仿宋_GBK" w:cs="Nimbus Roman No9 L"/>
          <w:sz w:val="32"/>
          <w:szCs w:val="32"/>
          <w:u w:val="none"/>
        </w:rPr>
        <w:t>企业审核同意。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黑体_GBK" w:cs="Nimbus Roman No9 L"/>
          <w:sz w:val="32"/>
          <w:szCs w:val="32"/>
          <w:u w:val="none"/>
        </w:rPr>
      </w:pPr>
      <w:r>
        <w:rPr>
          <w:rFonts w:hint="eastAsia" w:ascii="Nimbus Roman No9 L" w:hAnsi="Nimbus Roman No9 L" w:eastAsia="方正黑体_GBK" w:cs="Nimbus Roman No9 L"/>
          <w:sz w:val="32"/>
          <w:szCs w:val="32"/>
          <w:u w:val="none"/>
          <w:lang w:val="en-US" w:eastAsia="zh-CN"/>
        </w:rPr>
        <w:t>七</w:t>
      </w:r>
      <w:r>
        <w:rPr>
          <w:rFonts w:hint="default" w:ascii="Nimbus Roman No9 L" w:hAnsi="Nimbus Roman No9 L" w:eastAsia="方正黑体_GBK" w:cs="Nimbus Roman No9 L"/>
          <w:sz w:val="32"/>
          <w:szCs w:val="32"/>
          <w:u w:val="none"/>
        </w:rPr>
        <w:t>、</w:t>
      </w:r>
      <w:r>
        <w:rPr>
          <w:rFonts w:hint="default" w:ascii="Nimbus Roman No9 L" w:hAnsi="Nimbus Roman No9 L" w:eastAsia="方正黑体_GBK" w:cs="Nimbus Roman No9 L"/>
          <w:sz w:val="32"/>
          <w:szCs w:val="32"/>
          <w:u w:val="none"/>
          <w:lang w:eastAsia="zh-CN"/>
        </w:rPr>
        <w:t>规范</w:t>
      </w:r>
      <w:r>
        <w:rPr>
          <w:rFonts w:hint="default" w:ascii="Nimbus Roman No9 L" w:hAnsi="Nimbus Roman No9 L" w:eastAsia="方正黑体_GBK" w:cs="Nimbus Roman No9 L"/>
          <w:sz w:val="32"/>
          <w:szCs w:val="32"/>
          <w:u w:val="none"/>
        </w:rPr>
        <w:t>产权交易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㈠</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国有产权转让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企业国有产权对外转让应按照</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公开、公平、公正</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原则，按照《企业国有资产交易监督管理办法》（</w:t>
      </w:r>
      <w:r>
        <w:rPr>
          <w:rFonts w:hint="default" w:ascii="Nimbus Roman No9 L" w:hAnsi="Nimbus Roman No9 L" w:eastAsia="方正仿宋_GBK" w:cs="Nimbus Roman No9 L"/>
          <w:sz w:val="32"/>
          <w:szCs w:val="32"/>
          <w:u w:val="none"/>
          <w:lang w:val="en-US" w:eastAsia="zh-CN"/>
        </w:rPr>
        <w:t>财政部</w:t>
      </w:r>
      <w:r>
        <w:rPr>
          <w:rFonts w:hint="default" w:ascii="Nimbus Roman No9 L" w:hAnsi="Nimbus Roman No9 L" w:eastAsia="方正仿宋_GBK" w:cs="Nimbus Roman No9 L"/>
          <w:sz w:val="32"/>
          <w:szCs w:val="32"/>
          <w:u w:val="none"/>
        </w:rPr>
        <w:t>3</w:t>
      </w:r>
      <w:r>
        <w:rPr>
          <w:rFonts w:hint="default" w:ascii="Nimbus Roman No9 L" w:hAnsi="Nimbus Roman No9 L" w:eastAsia="方正仿宋_GBK" w:cs="Nimbus Roman No9 L"/>
          <w:sz w:val="32"/>
          <w:szCs w:val="32"/>
          <w:u w:val="none"/>
          <w:lang w:val="en-US" w:eastAsia="zh-CN"/>
        </w:rPr>
        <w:t>2</w:t>
      </w:r>
      <w:r>
        <w:rPr>
          <w:rFonts w:hint="default" w:ascii="Nimbus Roman No9 L" w:hAnsi="Nimbus Roman No9 L" w:eastAsia="方正仿宋_GBK" w:cs="Nimbus Roman No9 L"/>
          <w:sz w:val="32"/>
          <w:szCs w:val="32"/>
          <w:u w:val="none"/>
        </w:rPr>
        <w:t>号</w:t>
      </w:r>
      <w:r>
        <w:rPr>
          <w:rFonts w:hint="default" w:ascii="Nimbus Roman No9 L" w:hAnsi="Nimbus Roman No9 L" w:eastAsia="方正仿宋_GBK" w:cs="Nimbus Roman No9 L"/>
          <w:sz w:val="32"/>
          <w:szCs w:val="32"/>
          <w:u w:val="none"/>
          <w:lang w:val="en-US" w:eastAsia="zh-CN"/>
        </w:rPr>
        <w:t>令</w:t>
      </w:r>
      <w:r>
        <w:rPr>
          <w:rFonts w:hint="default" w:ascii="Nimbus Roman No9 L" w:hAnsi="Nimbus Roman No9 L" w:eastAsia="方正仿宋_GBK" w:cs="Nimbus Roman No9 L"/>
          <w:sz w:val="32"/>
          <w:szCs w:val="32"/>
          <w:u w:val="none"/>
        </w:rPr>
        <w:t>）</w:t>
      </w:r>
      <w:r>
        <w:rPr>
          <w:rFonts w:hint="default" w:ascii="Nimbus Roman No9 L" w:hAnsi="Nimbus Roman No9 L" w:eastAsia="方正仿宋_GBK" w:cs="Nimbus Roman No9 L"/>
          <w:sz w:val="32"/>
          <w:szCs w:val="32"/>
          <w:u w:val="none"/>
          <w:lang w:eastAsia="zh-CN"/>
        </w:rPr>
        <w:t>和</w:t>
      </w:r>
      <w:r>
        <w:rPr>
          <w:rFonts w:hint="default" w:ascii="Nimbus Roman No9 L" w:hAnsi="Nimbus Roman No9 L" w:eastAsia="方正仿宋_GBK" w:cs="Nimbus Roman No9 L"/>
          <w:sz w:val="32"/>
          <w:szCs w:val="32"/>
          <w:u w:val="none"/>
        </w:rPr>
        <w:t>相关法律法规规定，在产权交易机构公开进行，重点关注以下环节：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1.进场交易范围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除按照国家规定可以直接协议转让外，国有产权转让应通过产权交易机构公开进行。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2.挂牌前期工作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国有产权进场交易前，转让方应履行决策或审批程序，做好可行性研究、转让方案制定、财务审计与资产评估、合法合规审核，并完成职工安置方案和职工民主决策程序等前期准备工作。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3.定价依据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国有产权转让价格应以经核准或备案的评估结果为基准，首次信息公告时的挂牌价不得低于评估结果。如公告期内未征集到意向受让方，转让方可以在不低于评估结果90</w:t>
      </w:r>
      <w:r>
        <w:rPr>
          <w:rFonts w:hint="default" w:ascii="Nimbus Roman No9 L" w:hAnsi="Nimbus Roman No9 L" w:eastAsia="方正仿宋_GBK" w:cs="Nimbus Roman No9 L"/>
          <w:sz w:val="32"/>
          <w:szCs w:val="32"/>
          <w:u w:val="none"/>
          <w:lang w:val="en-US" w:eastAsia="zh-CN"/>
        </w:rPr>
        <w:t>%</w:t>
      </w:r>
      <w:r>
        <w:rPr>
          <w:rFonts w:hint="default" w:ascii="Nimbus Roman No9 L" w:hAnsi="Nimbus Roman No9 L" w:eastAsia="方正仿宋_GBK" w:cs="Nimbus Roman No9 L"/>
          <w:sz w:val="32"/>
          <w:szCs w:val="32"/>
          <w:u w:val="none"/>
        </w:rPr>
        <w:t>的范围内设定新的挂牌价再次进行公告。如新的挂牌价低于评估结果的90</w:t>
      </w:r>
      <w:r>
        <w:rPr>
          <w:rFonts w:hint="default" w:ascii="Nimbus Roman No9 L" w:hAnsi="Nimbus Roman No9 L" w:eastAsia="方正仿宋_GBK" w:cs="Nimbus Roman No9 L"/>
          <w:sz w:val="32"/>
          <w:szCs w:val="32"/>
          <w:u w:val="none"/>
          <w:lang w:val="en-US" w:eastAsia="zh-CN"/>
        </w:rPr>
        <w:t>%</w:t>
      </w:r>
      <w:r>
        <w:rPr>
          <w:rFonts w:hint="default" w:ascii="Nimbus Roman No9 L" w:hAnsi="Nimbus Roman No9 L" w:eastAsia="方正仿宋_GBK" w:cs="Nimbus Roman No9 L"/>
          <w:sz w:val="32"/>
          <w:szCs w:val="32"/>
          <w:u w:val="none"/>
        </w:rPr>
        <w:t>，转让方应当重新获得</w:t>
      </w:r>
      <w:r>
        <w:rPr>
          <w:rFonts w:hint="default" w:ascii="Nimbus Roman No9 L" w:hAnsi="Nimbus Roman No9 L" w:eastAsia="方正仿宋_GBK" w:cs="Nimbus Roman No9 L"/>
          <w:sz w:val="32"/>
          <w:szCs w:val="32"/>
          <w:u w:val="none"/>
          <w:lang w:val="en-US" w:eastAsia="zh-CN"/>
        </w:rPr>
        <w:t>州国资委</w:t>
      </w:r>
      <w:r>
        <w:rPr>
          <w:rFonts w:hint="default" w:ascii="Nimbus Roman No9 L" w:hAnsi="Nimbus Roman No9 L" w:eastAsia="方正仿宋_GBK" w:cs="Nimbus Roman No9 L"/>
          <w:sz w:val="32"/>
          <w:szCs w:val="32"/>
          <w:u w:val="none"/>
        </w:rPr>
        <w:t>批准后，再发布产权转让公告。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4.转让信息公告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转让信息应在公开发行的报刊和产权交易机构网站上公开披露。转让方根据交易规模、市场情况等因素合理确定转让信息公告期限，但首次信息公告期不少于20个工作日。</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5.受让方资格确认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转让方可根据实际情况，合理设置受让方的主体资格、管理能力、资产规模等资格条件和交易条件，但不得出现具有明确指向性或者违反公平竞争的内容。转让信息公告期满，转让方根据公告的资格条件，对登记的意向受让方资格出具意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6.交易方式选择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产生两个及以上符合条件的意向受让方时，一般通过网络竞价确定受让方。网络竞价中采取权重报价的，应由</w:t>
      </w:r>
      <w:r>
        <w:rPr>
          <w:rFonts w:hint="default" w:ascii="Nimbus Roman No9 L" w:hAnsi="Nimbus Roman No9 L" w:eastAsia="方正仿宋_GBK" w:cs="Nimbus Roman No9 L"/>
          <w:sz w:val="32"/>
          <w:szCs w:val="32"/>
          <w:u w:val="none"/>
          <w:lang w:val="en-US" w:eastAsia="zh-CN"/>
        </w:rPr>
        <w:t>州国资委或直管企业</w:t>
      </w:r>
      <w:r>
        <w:rPr>
          <w:rFonts w:hint="default" w:ascii="Nimbus Roman No9 L" w:hAnsi="Nimbus Roman No9 L" w:eastAsia="方正仿宋_GBK" w:cs="Nimbus Roman No9 L"/>
          <w:sz w:val="32"/>
          <w:szCs w:val="32"/>
          <w:u w:val="none"/>
        </w:rPr>
        <w:t>批准，并经产权交易机构核准。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7.交易价款支付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国有产权转让价款原则上应一次付清。如金额较大、一次付清确有困难，确需采取分期付款的，受让方首期付款不得低于总价款的30%，并在合同生效之日起5个工作日内支付，其余款项应当提供合法担保，并按同期银行贷款利率向转让方支付延期付款期间利息，付款期限不得超过1年。企业应加强应收账款管理，切实防范交易风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楷体_GBK" w:cs="Nimbus Roman No9 L"/>
          <w:sz w:val="32"/>
          <w:szCs w:val="32"/>
          <w:u w:val="none"/>
        </w:rPr>
      </w:pPr>
      <w:r>
        <w:rPr>
          <w:rFonts w:hint="default" w:ascii="Nimbus Roman No9 L" w:hAnsi="Nimbus Roman No9 L" w:eastAsia="方正楷体_GBK" w:cs="Nimbus Roman No9 L"/>
          <w:sz w:val="32"/>
          <w:szCs w:val="40"/>
          <w:u w:val="none"/>
          <w:lang w:val="en-US" w:eastAsia="zh-CN"/>
        </w:rPr>
        <w:t>㈡</w:t>
      </w:r>
      <w:r>
        <w:rPr>
          <w:rFonts w:hint="default" w:ascii="Nimbus Roman No9 L" w:hAnsi="Nimbus Roman No9 L" w:eastAsia="方正楷体_GBK" w:cs="Nimbus Roman No9 L"/>
          <w:sz w:val="32"/>
          <w:szCs w:val="40"/>
          <w:u w:val="none"/>
          <w:lang w:val="en" w:eastAsia="zh-CN"/>
        </w:rPr>
        <w:t xml:space="preserve"> </w:t>
      </w:r>
      <w:r>
        <w:rPr>
          <w:rFonts w:hint="default" w:ascii="Nimbus Roman No9 L" w:hAnsi="Nimbus Roman No9 L" w:eastAsia="方正楷体_GBK" w:cs="Nimbus Roman No9 L"/>
          <w:sz w:val="32"/>
          <w:szCs w:val="32"/>
          <w:u w:val="none"/>
        </w:rPr>
        <w:t>国有企业增资扩股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企业实施增资引入社会资本，应通过产权交易机构公开进行，根据企业发展需求，</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公开、公平、公正</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择优选择投资者。增资行为涉及改制的，应同时符合改</w:t>
      </w:r>
      <w:r>
        <w:rPr>
          <w:rFonts w:hint="default"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有关要求。增资过程中应注重以下环节：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1.适用情形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企业引入社会资本实施增资，应通过产权交易机构公开进行。</w:t>
      </w: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企业增资扩股涉及引入管理层持股、股权激励或员工持股的，按照国家</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lang w:val="en-US" w:eastAsia="zh-CN"/>
        </w:rPr>
        <w:t>自治区和自治州</w:t>
      </w:r>
      <w:r>
        <w:rPr>
          <w:rFonts w:hint="default" w:ascii="Nimbus Roman No9 L" w:hAnsi="Nimbus Roman No9 L" w:eastAsia="方正仿宋_GBK" w:cs="Nimbus Roman No9 L"/>
          <w:sz w:val="32"/>
          <w:szCs w:val="32"/>
          <w:u w:val="none"/>
        </w:rPr>
        <w:t>有关规定操作。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企业以股权出资与社会资本共同设立新公司的，应参照增资扩股方式，通过产权交易机构公开进行。</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2.挂牌前期工作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企业增资应符合</w:t>
      </w:r>
      <w:r>
        <w:rPr>
          <w:rFonts w:hint="default" w:ascii="Nimbus Roman No9 L" w:hAnsi="Nimbus Roman No9 L" w:eastAsia="方正仿宋_GBK" w:cs="Nimbus Roman No9 L"/>
          <w:sz w:val="32"/>
          <w:szCs w:val="32"/>
          <w:u w:val="none"/>
          <w:lang w:val="en-US" w:eastAsia="zh-CN"/>
        </w:rPr>
        <w:t>自治州</w:t>
      </w:r>
      <w:r>
        <w:rPr>
          <w:rFonts w:hint="default" w:ascii="Nimbus Roman No9 L" w:hAnsi="Nimbus Roman No9 L" w:eastAsia="方正仿宋_GBK" w:cs="Nimbus Roman No9 L"/>
          <w:sz w:val="32"/>
          <w:szCs w:val="32"/>
          <w:u w:val="none"/>
        </w:rPr>
        <w:t>国资布局优化和结构调整要求，有利于企业改革转制、创新发展。增资企业应履行决策或审批程序，做好可行性研究、增资方案制定、财务审计与资产评估、合法合规审核，并完成职工安置方案和职工民主决策程序等前期准备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3.定价依据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增资企业以经核准或备案的资产评估结果为基准确定挂牌价格，挂牌价格不得低于评估结果。最终确定的增资扩股价格不得低于挂牌价。</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4.增资信息公告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增资企业应充分进行信息披露，尽可能扩大征集投资人的范围和渠道。增资信息应在公开发行的报刊和产权交易机构网站上公开披露。公告中对管理、分红以及章程修改等的承诺，不得以约定的形式让渡国有股东的法定基本权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b/>
          <w:bCs/>
          <w:sz w:val="32"/>
          <w:szCs w:val="32"/>
          <w:u w:val="none"/>
        </w:rPr>
      </w:pPr>
      <w:r>
        <w:rPr>
          <w:rFonts w:hint="default" w:ascii="Nimbus Roman No9 L" w:hAnsi="Nimbus Roman No9 L" w:eastAsia="方正仿宋_GBK" w:cs="Nimbus Roman No9 L"/>
          <w:b/>
          <w:bCs/>
          <w:sz w:val="32"/>
          <w:szCs w:val="32"/>
          <w:u w:val="none"/>
        </w:rPr>
        <w:t>5.投资人资格确认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增资企业可根据项目特点、增资目的等，从市场、技术、管理或资源等方面设置必要的资格条件和交易条件。不得设置带有明显歧视或显失公平的排他性条件。增资信息公告期满，增资企业根据公告的资格条件，对登记的意向增资方资格出具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八</w:t>
      </w:r>
      <w:r>
        <w:rPr>
          <w:rFonts w:hint="eastAsia" w:ascii="方正黑体_GBK" w:hAnsi="方正黑体_GBK" w:eastAsia="方正黑体_GBK" w:cs="方正黑体_GBK"/>
          <w:sz w:val="32"/>
          <w:szCs w:val="40"/>
          <w:u w:val="none"/>
        </w:rPr>
        <w:t>、投资者选择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㈠</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监管企业在引进投资者时应当以提高国有资本配置和运行效率为目标</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从企业战略定位、主业发展需求、体制机制创新等角度出发</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同步考虑品牌、管理、人才、技术、市场、资本等因素</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寻找符合条件的合作伙伴做好引资本与转机制的结合、优化企业股权结构与优化治理结构的结合。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㈡</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明确选择条件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依法诚信经营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企业治理规范</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具有良好的市场声誉；具有产业协同、优势互补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有利于促进企业转型升级；契合企业发展需要</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能够提供资源、资金、技术、管理、市场等方面支持；兼顾企业文化理念相近</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认同企业发展战略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资金实力雄厚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行业影响力等其他因素。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㈢</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加强操作规范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对投资者进行适合性尽职调查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主要包括投资主体及实际控制人资格资信、关联人识别、财务与法律风险观别等内容</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2</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投资者以实物、股权、土地使用权等法律法规允许的方式出资参与自治区监管企业混合所有制改革时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监管企业应当关注其资产质量</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做好与投资者合作相关的风险评估</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避免后期出现法律纠纷</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3.监管企业混合所有制改革后由国有控股企业转为国有参股企业或全部退出的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须进行尽职调查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避免关联交易和利益输送</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4</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监管企业在混合所有制改革中</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原则上不得与投资者签订对赌条约和回购条款</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九、</w:t>
      </w:r>
      <w:r>
        <w:rPr>
          <w:rFonts w:hint="eastAsia" w:ascii="方正黑体_GBK" w:hAnsi="方正黑体_GBK" w:eastAsia="方正黑体_GBK" w:cs="方正黑体_GBK"/>
          <w:sz w:val="32"/>
          <w:szCs w:val="40"/>
          <w:u w:val="none"/>
        </w:rPr>
        <w:t>稳步推进监管企业混合所有制改革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lang w:eastAsia="zh-CN"/>
        </w:rPr>
        <w:t>㈠</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监管企业层面实施混合所有制改革的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应当“一企一策”制定发展规划和整体混合所有制改革方案</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统筹谋划好混合所有制改革与深化国资国企配套改革试点的衔接关系</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结合监管企业行业特点及业态发展趋势选择主业匹配、管理规范、实力较强的投资者</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完善法人治理结构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以整体上市为主要形式合理设计改革路径。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lang w:eastAsia="zh-CN"/>
        </w:rPr>
        <w:t>㈡</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对于主业资产已基本具备条件实现证券化</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拟通过整体上市深化混合所有制改革的</w:t>
      </w:r>
      <w:r>
        <w:rPr>
          <w:rFonts w:hint="eastAsia" w:ascii="Nimbus Roman No9 L" w:hAnsi="Nimbus Roman No9 L" w:eastAsia="方正仿宋_GBK" w:cs="Nimbus Roman No9 L"/>
          <w:sz w:val="32"/>
          <w:szCs w:val="40"/>
          <w:u w:val="none"/>
          <w:lang w:eastAsia="zh-CN"/>
        </w:rPr>
        <w:t>监管</w:t>
      </w:r>
      <w:r>
        <w:rPr>
          <w:rFonts w:hint="default" w:ascii="Nimbus Roman No9 L" w:hAnsi="Nimbus Roman No9 L" w:eastAsia="方正仿宋_GBK" w:cs="Nimbus Roman No9 L"/>
          <w:sz w:val="32"/>
          <w:szCs w:val="40"/>
          <w:u w:val="none"/>
        </w:rPr>
        <w:t>企业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应当充分考虑非经营性资产剥离、资产权属玻秕、税收策划等问题</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满足证券监管机构对于上市的要求</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制定整体上市方案。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lang w:eastAsia="zh-CN"/>
        </w:rPr>
        <w:t>㈢</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充分发挥国有资本投资、运营公司资本运作平台作用</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积极参与监管企业层面混合所有制改革或整体上市</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做好相关方案的研究制定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统筹好平台公司与监管企业的关系</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通过股权运作、基金投资等多种形式推动监管企业层面混合所有制改革或整体上市进程。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十、</w:t>
      </w:r>
      <w:r>
        <w:rPr>
          <w:rFonts w:hint="eastAsia" w:ascii="方正黑体_GBK" w:hAnsi="方正黑体_GBK" w:eastAsia="方正黑体_GBK" w:cs="方正黑体_GBK"/>
          <w:sz w:val="32"/>
          <w:szCs w:val="40"/>
          <w:u w:val="none"/>
        </w:rPr>
        <w:t>股权及分红权激励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eastAsia" w:ascii="方正仿宋_GBK" w:hAnsi="方正仿宋_GBK" w:eastAsia="方正仿宋_GBK" w:cs="方正仿宋_GBK"/>
          <w:sz w:val="32"/>
          <w:szCs w:val="40"/>
          <w:u w:val="none"/>
          <w:lang w:eastAsia="zh-CN"/>
        </w:rPr>
        <w:t>㈠</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支持监管企业在混合所有制改革过程中</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根据《自治区人民政府关于国有控股混合所有制企业开展员工持股试点的实施意见》</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新国资发〔2017〕473号</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相关规定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用足用好员工持股、限制性股票、股权分红权、股票期权等各种激励措施</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进一步激发企业经营管理者和核心骨干的创新创造活力</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eastAsia" w:ascii="方正仿宋_GBK" w:hAnsi="方正仿宋_GBK" w:eastAsia="方正仿宋_GBK" w:cs="方正仿宋_GBK"/>
          <w:sz w:val="32"/>
          <w:szCs w:val="40"/>
          <w:u w:val="none"/>
          <w:lang w:eastAsia="zh-CN"/>
        </w:rPr>
        <w:t>㈡</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优先支持高新技术企业、科技服务型企业的经营管理人员、科研人员和业务骨干入股</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推动股权出售、股权奖励、股权期权、岗位分红和项目收益分红等人才激励措施实施</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适时拓宽员工持股实施范围及比例</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积极探索混合所有制改革企业高级管理人员和业务骨干分红权激励</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十</w:t>
      </w:r>
      <w:r>
        <w:rPr>
          <w:rFonts w:hint="eastAsia" w:ascii="方正黑体_GBK" w:hAnsi="方正黑体_GBK" w:eastAsia="方正黑体_GBK" w:cs="方正黑体_GBK"/>
          <w:sz w:val="32"/>
          <w:szCs w:val="40"/>
          <w:u w:val="none"/>
          <w:lang w:eastAsia="zh-CN"/>
        </w:rPr>
        <w:t>一、</w:t>
      </w:r>
      <w:r>
        <w:rPr>
          <w:rFonts w:hint="eastAsia" w:ascii="方正黑体_GBK" w:hAnsi="方正黑体_GBK" w:eastAsia="方正黑体_GBK" w:cs="方正黑体_GBK"/>
          <w:sz w:val="32"/>
          <w:szCs w:val="40"/>
          <w:u w:val="none"/>
        </w:rPr>
        <w:t>加强混合所有制企业管控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㈠</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完善法人治理结构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监管企业应根据混合所有制企业股权结构合理设置股东会、董事会、监事会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充分发挥股东会和董事会决策、监事会监督、经理层经营管理作用</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实现规范的公司治理</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2</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国有股东应主导自治</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b w:val="0"/>
          <w:spacing w:val="0"/>
          <w:sz w:val="32"/>
          <w:szCs w:val="32"/>
          <w:u w:val="none"/>
          <w:lang w:eastAsia="zh-CN"/>
        </w:rPr>
        <w:t>国有独资、控股和国有实际控制</w:t>
      </w:r>
      <w:r>
        <w:rPr>
          <w:rFonts w:hint="default" w:ascii="Nimbus Roman No9 L" w:hAnsi="Nimbus Roman No9 L" w:eastAsia="方正仿宋_GBK" w:cs="Nimbus Roman No9 L"/>
          <w:sz w:val="32"/>
          <w:szCs w:val="40"/>
          <w:u w:val="none"/>
        </w:rPr>
        <w:t>混合所有制企业合资合作合同、章程等基础文件的制定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合理设置条文条款</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构建规范、顺畅的股东合作机制和争议解决机制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切实维护自身合法权益</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有效防范风险</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3.企业章程应依法明确各股东的权利和义务</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确保国有股东法定权益</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国有股东原则上应当向</w:t>
      </w:r>
      <w:r>
        <w:rPr>
          <w:rFonts w:hint="default" w:ascii="Nimbus Roman No9 L" w:hAnsi="Nimbus Roman No9 L" w:eastAsia="方正仿宋_GBK" w:cs="Nimbus Roman No9 L"/>
          <w:b w:val="0"/>
          <w:spacing w:val="0"/>
          <w:sz w:val="32"/>
          <w:szCs w:val="32"/>
          <w:u w:val="none"/>
          <w:lang w:eastAsia="zh-CN"/>
        </w:rPr>
        <w:t>国有独资、控股和国有实际控制</w:t>
      </w:r>
      <w:r>
        <w:rPr>
          <w:rFonts w:hint="default" w:ascii="Nimbus Roman No9 L" w:hAnsi="Nimbus Roman No9 L" w:eastAsia="方正仿宋_GBK" w:cs="Nimbus Roman No9 L"/>
          <w:sz w:val="32"/>
          <w:szCs w:val="40"/>
          <w:u w:val="none"/>
        </w:rPr>
        <w:t>企业委派党组织书记、董事长和财务总监</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健全日常董事会制度</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加强企业管控</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经企业同意后</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确不具备委派财务总监条件的国有控股企业要加强财务监管</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防范国有资产流失</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㈡</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规范参股企业管理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混合所有制改革后为国有参股企业的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应在混合所有制改革方案制定中约定公司治理结构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在公司章程中制定保护小股东利益的条款</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包括知情权、表决权等方面内容</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必要时可以设置有条件的退出条款</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并向国有参股企业派出股权代表</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依法行使股东权利</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2</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国有参股企业国有股权代表在行使相关股东权利前</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应当将股东会、董事会等审议事项上报国有股东</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确保所行使表决权符合国有股东真实意图</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3.加大对产权链条长、管控力度弱、非主业投资、连续亏损等国有参股企业</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特别是四级以上非主业参股亏损企业、四级及以下参股亏损企业的清理力度</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构建业务有进有退、企业优胜劣汰、管控精干高效的发展格局</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十</w:t>
      </w:r>
      <w:r>
        <w:rPr>
          <w:rFonts w:hint="eastAsia" w:ascii="方正黑体_GBK" w:hAnsi="方正黑体_GBK" w:eastAsia="方正黑体_GBK" w:cs="方正黑体_GBK"/>
          <w:sz w:val="32"/>
          <w:szCs w:val="40"/>
          <w:u w:val="none"/>
          <w:lang w:eastAsia="zh-CN"/>
        </w:rPr>
        <w:t>二、</w:t>
      </w:r>
      <w:r>
        <w:rPr>
          <w:rFonts w:hint="eastAsia" w:ascii="方正黑体_GBK" w:hAnsi="方正黑体_GBK" w:eastAsia="方正黑体_GBK" w:cs="方正黑体_GBK"/>
          <w:sz w:val="32"/>
          <w:szCs w:val="40"/>
          <w:u w:val="none"/>
        </w:rPr>
        <w:t>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㈠</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坚持党的建设与混合所有制改革同步谋划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严格落实《关于在深化国有企业改革中坚持党的领导加强党的建设的若干意见》</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中办发〔2015〕44号</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把建立党的组织、开展党的工作</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作为国有企业推进混合所有制改革的必要前提</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坚持党的建设同步谋划、党的组织及工作机构同步设置、党组织负责人及党务工作人员同步配备、党的工作同步开展</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实现体制对接、机制对接、制度对接和工作对接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根据不同类型混合所有制企业特点</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明确党组织的设置方式、职责定位和管理模式</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32"/>
          <w:u w:val="none"/>
        </w:rPr>
        <w:t>根据不同类型混合所有制企业特点，明确党组织的设置方式、职责定位和管理模式。国有资本绝对控股、相对控股或者具有实际控制力的混合所有制企业，党组织发挥政治核心作用；其他混合所有制企业，比照非公有制企业开展党建工作，党组织在职工群众中发挥政治核心作用，在企业发展中发挥政治引领作用，其中国有资本参股比重较大的企业，国有资本出资企业党组织可以通过选派政治素质好、工作能力强的党组织书记，加强企业党建工作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eastAsia="zh-CN"/>
        </w:rPr>
      </w:pPr>
      <w:r>
        <w:rPr>
          <w:rFonts w:hint="eastAsia" w:ascii="方正楷体_GBK" w:hAnsi="方正楷体_GBK" w:eastAsia="方正楷体_GBK" w:cs="方正楷体_GBK"/>
          <w:sz w:val="32"/>
          <w:szCs w:val="40"/>
          <w:u w:val="none"/>
          <w:lang w:eastAsia="zh-CN"/>
        </w:rPr>
        <w:t>㈡</w:t>
      </w:r>
      <w:r>
        <w:rPr>
          <w:rFonts w:hint="eastAsia" w:ascii="方正楷体_GBK" w:hAnsi="方正楷体_GBK" w:eastAsia="方正楷体_GBK" w:cs="方正楷体_GBK"/>
          <w:sz w:val="32"/>
          <w:szCs w:val="40"/>
          <w:u w:val="none"/>
          <w:lang w:val="en-US" w:eastAsia="zh-CN"/>
        </w:rPr>
        <w:t xml:space="preserve"> </w:t>
      </w:r>
      <w:r>
        <w:rPr>
          <w:rFonts w:hint="default" w:ascii="方正楷体_GBK" w:hAnsi="方正楷体_GBK" w:eastAsia="方正楷体_GBK" w:cs="方正楷体_GBK"/>
          <w:sz w:val="32"/>
          <w:szCs w:val="40"/>
          <w:u w:val="none"/>
          <w:lang w:eastAsia="zh-CN"/>
        </w:rPr>
        <w:t>用足用好财税优惠政策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监管企业混合所有制改革过程中</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应科学设计改革路径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最大程度用足用好《国家发展改革委办公厅关于印发&lt;国有企业混合所有制改革相关税收政策文件汇编&gt;的通知》</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发改办经体〔2018〕947号</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等文件对企业混合所有制改革重组的税收优惠政策</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㈢</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建立科学合理的容错纠错机制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监管企业在混合所有制改革过程中</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应当建立科学合理的容错纠错机制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围绕自主创新和国企改革两个方面</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科学界定容错纠错界限</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鼓励企业领导人员勇于创新、锐意改革</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对于按照规定履行民主决策、方案制定、审计评估、资产交易、办理交割登记、审核上报等程序</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未发现伞取非法利益的混合所有制改革项目</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可视为履行勤勉尽责义务</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给予免责容错；对于违反决策程序和审批流程、超授权范围决策、造成国有资产损失的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应当严肃追究相关人员责任</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十</w:t>
      </w:r>
      <w:r>
        <w:rPr>
          <w:rFonts w:hint="eastAsia" w:ascii="方正黑体_GBK" w:hAnsi="方正黑体_GBK" w:eastAsia="方正黑体_GBK" w:cs="方正黑体_GBK"/>
          <w:sz w:val="32"/>
          <w:szCs w:val="40"/>
          <w:u w:val="none"/>
          <w:lang w:eastAsia="zh-CN"/>
        </w:rPr>
        <w:t>三、</w:t>
      </w:r>
      <w:r>
        <w:rPr>
          <w:rFonts w:hint="eastAsia" w:ascii="方正黑体_GBK" w:hAnsi="方正黑体_GBK" w:eastAsia="方正黑体_GBK" w:cs="方正黑体_GBK"/>
          <w:sz w:val="32"/>
          <w:szCs w:val="40"/>
          <w:u w:val="none"/>
        </w:rPr>
        <w:t>混改后绩效评价主要指标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监管企业在不断发展混合所有制改革的同时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更要注重混改完成后</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企业高质量不断发展</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通过运用绩效评价等机制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不断激发企业活力</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保障国有资产保值增值</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㈠</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盈利能力状况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净资产收益率：该指标反映股东权益的收益水平</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用以衡量公司运用自有资本的效率</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指标值越高</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说明投资带来的收益越高</w:t>
      </w:r>
      <w:r>
        <w:rPr>
          <w:rFonts w:hint="default" w:ascii="Nimbus Roman No9 L" w:hAnsi="Nimbus Roman No9 L" w:eastAsia="方正仿宋_GBK" w:cs="Nimbus Roman No9 L"/>
          <w:sz w:val="32"/>
          <w:szCs w:val="40"/>
          <w:u w:val="none"/>
          <w:lang w:eastAsia="zh-CN"/>
        </w:rPr>
        <w:t>。</w:t>
      </w:r>
    </w:p>
    <w:tbl>
      <w:tblPr>
        <w:tblStyle w:val="8"/>
        <w:tblW w:w="7688" w:type="dxa"/>
        <w:tblInd w:w="5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50"/>
        <w:gridCol w:w="4700"/>
        <w:gridCol w:w="12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750"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val="en-US" w:eastAsia="zh-CN"/>
              </w:rPr>
              <w:t>计算公式：</w:t>
            </w:r>
          </w:p>
        </w:tc>
        <w:tc>
          <w:tcPr>
            <w:tcW w:w="4700"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val="en-US" w:eastAsia="zh-CN"/>
              </w:rPr>
              <w:t>归属母公司所有者权益的净利润</w:t>
            </w:r>
            <w:r>
              <w:rPr>
                <w:rFonts w:hint="default" w:ascii="Nimbus Roman No9 L" w:hAnsi="Nimbus Roman No9 L" w:eastAsia="方正仿宋_GBK" w:cs="Nimbus Roman No9 L"/>
                <w:sz w:val="32"/>
                <w:szCs w:val="40"/>
                <w:u w:val="none"/>
                <w:lang w:val="en-US" w:eastAsia="zh-CN"/>
              </w:rPr>
              <w:br w:type="textWrapping"/>
            </w:r>
            <w:r>
              <w:rPr>
                <w:rFonts w:hint="default" w:ascii="Nimbus Roman No9 L" w:hAnsi="Nimbus Roman No9 L" w:eastAsia="方正仿宋_GBK" w:cs="Nimbus Roman No9 L"/>
                <w:sz w:val="32"/>
                <w:szCs w:val="40"/>
                <w:u w:val="none"/>
                <w:lang w:val="en-US" w:eastAsia="zh-CN"/>
              </w:rPr>
              <w:t>平均归属母公司所有者权益</w:t>
            </w:r>
          </w:p>
        </w:tc>
        <w:tc>
          <w:tcPr>
            <w:tcW w:w="1238"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val="en-US" w:eastAsia="zh-CN"/>
              </w:rPr>
              <w:t>x100%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平均归属母公司所有者权益=</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年初归属母公司所有者权益</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年末归属母公司所有者权益</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㈡</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资产质量状况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总资产周转率</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次</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：该指标反映企业一定时期的销售收入净额与平均资产总额之比</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它是衡量资产投资规模与销售水平之间配比情况的指标</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该数值越高</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表明企业总资产周转速度越快</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销售能力越强</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资产利用率越高</w:t>
      </w:r>
      <w:r>
        <w:rPr>
          <w:rFonts w:hint="default" w:ascii="Nimbus Roman No9 L" w:hAnsi="Nimbus Roman No9 L" w:eastAsia="方正仿宋_GBK" w:cs="Nimbus Roman No9 L"/>
          <w:sz w:val="32"/>
          <w:szCs w:val="40"/>
          <w:u w:val="none"/>
          <w:lang w:eastAsia="zh-CN"/>
        </w:rPr>
        <w:t>。</w:t>
      </w:r>
    </w:p>
    <w:tbl>
      <w:tblPr>
        <w:tblStyle w:val="8"/>
        <w:tblW w:w="6625" w:type="dxa"/>
        <w:tblInd w:w="11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0"/>
        <w:gridCol w:w="2575"/>
        <w:gridCol w:w="2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700"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val="en-US" w:eastAsia="zh-CN"/>
              </w:rPr>
              <w:t>计算公式：</w:t>
            </w:r>
          </w:p>
        </w:tc>
        <w:tc>
          <w:tcPr>
            <w:tcW w:w="2575"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highlight w:val="none"/>
                <w:u w:val="none"/>
              </w:rPr>
              <w:t>总资产周转率=</w:t>
            </w:r>
          </w:p>
        </w:tc>
        <w:tc>
          <w:tcPr>
            <w:tcW w:w="2350"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highlight w:val="none"/>
                <w:u w:val="none"/>
                <w:lang w:eastAsia="zh-CN"/>
              </w:rPr>
            </w:pPr>
            <w:r>
              <w:rPr>
                <w:rFonts w:hint="default" w:ascii="Nimbus Roman No9 L" w:hAnsi="Nimbus Roman No9 L" w:eastAsia="方正仿宋_GBK" w:cs="Nimbus Roman No9 L"/>
                <w:sz w:val="32"/>
                <w:szCs w:val="40"/>
                <w:highlight w:val="none"/>
                <w:u w:val="none"/>
                <w:lang w:eastAsia="zh-CN"/>
              </w:rPr>
              <w:t>营业总收入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highlight w:val="none"/>
                <w:u w:val="none"/>
                <w:lang w:val="en-US" w:eastAsia="zh-CN"/>
              </w:rPr>
              <w:t>平均资产总额</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㈢</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债务风险状况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资产负债率：该指标主要用以衡量企业利用债权人提供资金进行营业活动的能力</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以及反映债权人发放贷款的安全程度的指标</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资产负债率反映总资产中由多大比例是通过举债来筹资的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也可以衡量企业在清算时保护债权人利益的程度</w:t>
      </w:r>
      <w:r>
        <w:rPr>
          <w:rFonts w:hint="default" w:ascii="Nimbus Roman No9 L" w:hAnsi="Nimbus Roman No9 L" w:eastAsia="方正仿宋_GBK" w:cs="Nimbus Roman No9 L"/>
          <w:sz w:val="32"/>
          <w:szCs w:val="40"/>
          <w:u w:val="none"/>
          <w:lang w:eastAsia="zh-CN"/>
        </w:rPr>
        <w:t>。</w:t>
      </w:r>
    </w:p>
    <w:tbl>
      <w:tblPr>
        <w:tblStyle w:val="8"/>
        <w:tblW w:w="7163" w:type="dxa"/>
        <w:tblInd w:w="1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8"/>
        <w:gridCol w:w="2425"/>
        <w:gridCol w:w="1687"/>
        <w:gridCol w:w="13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738"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val="en-US" w:eastAsia="zh-CN"/>
              </w:rPr>
              <w:t>计算公式：</w:t>
            </w:r>
          </w:p>
        </w:tc>
        <w:tc>
          <w:tcPr>
            <w:tcW w:w="2425"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highlight w:val="none"/>
                <w:u w:val="none"/>
              </w:rPr>
              <w:t>总资产周转率=</w:t>
            </w:r>
          </w:p>
        </w:tc>
        <w:tc>
          <w:tcPr>
            <w:tcW w:w="1687"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highlight w:val="none"/>
                <w:u w:val="none"/>
                <w:lang w:eastAsia="zh-CN"/>
              </w:rPr>
            </w:pPr>
            <w:r>
              <w:rPr>
                <w:rFonts w:hint="default" w:ascii="Nimbus Roman No9 L" w:hAnsi="Nimbus Roman No9 L" w:eastAsia="方正仿宋_GBK" w:cs="Nimbus Roman No9 L"/>
                <w:sz w:val="32"/>
                <w:szCs w:val="40"/>
                <w:highlight w:val="none"/>
                <w:u w:val="none"/>
                <w:lang w:eastAsia="zh-CN"/>
              </w:rPr>
              <w:t>负债总额</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highlight w:val="none"/>
                <w:u w:val="none"/>
                <w:lang w:val="en-US" w:eastAsia="zh-CN"/>
              </w:rPr>
              <w:t>资产总额</w:t>
            </w:r>
          </w:p>
        </w:tc>
        <w:tc>
          <w:tcPr>
            <w:tcW w:w="1313"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highlight w:val="none"/>
                <w:u w:val="none"/>
                <w:lang w:val="en-US" w:eastAsia="zh-CN"/>
              </w:rPr>
            </w:pPr>
            <w:r>
              <w:rPr>
                <w:rFonts w:hint="default" w:ascii="Nimbus Roman No9 L" w:hAnsi="Nimbus Roman No9 L" w:eastAsia="方正仿宋_GBK" w:cs="Nimbus Roman No9 L"/>
                <w:sz w:val="32"/>
                <w:szCs w:val="40"/>
                <w:highlight w:val="none"/>
                <w:u w:val="none"/>
                <w:lang w:val="en-US" w:eastAsia="zh-CN"/>
              </w:rPr>
              <w:t>x100%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40"/>
          <w:u w:val="none"/>
        </w:rPr>
      </w:pPr>
      <w:r>
        <w:rPr>
          <w:rFonts w:hint="eastAsia" w:ascii="方正楷体_GBK" w:hAnsi="方正楷体_GBK" w:eastAsia="方正楷体_GBK" w:cs="方正楷体_GBK"/>
          <w:sz w:val="32"/>
          <w:szCs w:val="40"/>
          <w:u w:val="none"/>
          <w:lang w:eastAsia="zh-CN"/>
        </w:rPr>
        <w:t>㈣</w:t>
      </w:r>
      <w:r>
        <w:rPr>
          <w:rFonts w:hint="eastAsia" w:ascii="方正楷体_GBK" w:hAnsi="方正楷体_GBK" w:eastAsia="方正楷体_GBK" w:cs="方正楷体_GBK"/>
          <w:sz w:val="32"/>
          <w:szCs w:val="40"/>
          <w:u w:val="none"/>
          <w:lang w:val="en-US" w:eastAsia="zh-CN"/>
        </w:rPr>
        <w:t xml:space="preserve"> </w:t>
      </w:r>
      <w:r>
        <w:rPr>
          <w:rFonts w:hint="eastAsia" w:ascii="方正楷体_GBK" w:hAnsi="方正楷体_GBK" w:eastAsia="方正楷体_GBK" w:cs="方正楷体_GBK"/>
          <w:sz w:val="32"/>
          <w:szCs w:val="40"/>
          <w:u w:val="none"/>
        </w:rPr>
        <w:t>经验增长状况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资本保值增值率：该指标反映了企业资本的运营效益与安全状况</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指标越高</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表明企业的资本保全越好</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所有者权益增长越快</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企业发展后劲越强。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lang w:eastAsia="zh-CN"/>
        </w:rPr>
        <w:t>计算公式：</w:t>
      </w:r>
    </w:p>
    <w:tbl>
      <w:tblPr>
        <w:tblStyle w:val="8"/>
        <w:tblW w:w="9650" w:type="dxa"/>
        <w:tblInd w:w="-38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12"/>
        <w:gridCol w:w="5588"/>
        <w:gridCol w:w="1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8" w:hRule="atLeast"/>
        </w:trPr>
        <w:tc>
          <w:tcPr>
            <w:tcW w:w="2712" w:type="dxa"/>
            <w:tcBorders>
              <w:top w:val="nil"/>
              <w:left w:val="nil"/>
              <w:bottom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资本保值增值率</w:t>
            </w:r>
            <w:r>
              <w:rPr>
                <w:rFonts w:hint="default" w:ascii="Nimbus Roman No9 L" w:hAnsi="Nimbus Roman No9 L" w:eastAsia="方正仿宋_GBK" w:cs="Nimbus Roman No9 L"/>
                <w:sz w:val="32"/>
                <w:szCs w:val="40"/>
                <w:highlight w:val="none"/>
                <w:u w:val="none"/>
              </w:rPr>
              <w:t>=</w:t>
            </w:r>
          </w:p>
        </w:tc>
        <w:tc>
          <w:tcPr>
            <w:tcW w:w="5588"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highlight w:val="none"/>
                <w:u w:val="none"/>
                <w:lang w:eastAsia="zh-CN"/>
              </w:rPr>
            </w:pPr>
            <w:r>
              <w:rPr>
                <w:rFonts w:hint="default" w:ascii="Nimbus Roman No9 L" w:hAnsi="Nimbus Roman No9 L" w:eastAsia="方正仿宋_GBK" w:cs="Nimbus Roman No9 L"/>
                <w:sz w:val="32"/>
                <w:szCs w:val="40"/>
                <w:highlight w:val="none"/>
                <w:u w:val="none"/>
                <w:lang w:eastAsia="zh-CN"/>
              </w:rPr>
              <w:t>扣除客观因素的年末国有资本及权益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lang w:eastAsia="zh-CN"/>
              </w:rPr>
              <w:t>年初国有资本及权益</w:t>
            </w:r>
          </w:p>
        </w:tc>
        <w:tc>
          <w:tcPr>
            <w:tcW w:w="1350" w:type="dxa"/>
            <w:tcBorders>
              <w:top w:val="nil"/>
              <w:left w:val="nil"/>
              <w:bottom w:val="nil"/>
              <w:right w:val="nil"/>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highlight w:val="none"/>
                <w:u w:val="none"/>
                <w:lang w:val="en-US" w:eastAsia="zh-CN"/>
              </w:rPr>
            </w:pPr>
            <w:r>
              <w:rPr>
                <w:rFonts w:hint="default" w:ascii="Nimbus Roman No9 L" w:hAnsi="Nimbus Roman No9 L" w:eastAsia="方正仿宋_GBK" w:cs="Nimbus Roman No9 L"/>
                <w:sz w:val="32"/>
                <w:szCs w:val="40"/>
                <w:highlight w:val="none"/>
                <w:u w:val="none"/>
                <w:lang w:val="en-US" w:eastAsia="zh-CN"/>
              </w:rPr>
              <w:t>x100%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rPr>
      </w:pPr>
      <w:r>
        <w:rPr>
          <w:rFonts w:hint="eastAsia" w:ascii="方正黑体_GBK" w:hAnsi="方正黑体_GBK" w:eastAsia="方正黑体_GBK" w:cs="方正黑体_GBK"/>
          <w:sz w:val="32"/>
          <w:szCs w:val="32"/>
          <w:u w:val="none"/>
          <w:lang w:eastAsia="zh-CN"/>
        </w:rPr>
        <w:t>十四、</w:t>
      </w:r>
      <w:r>
        <w:rPr>
          <w:rFonts w:hint="eastAsia" w:ascii="方正黑体_GBK" w:hAnsi="方正黑体_GBK" w:eastAsia="方正黑体_GBK" w:cs="方正黑体_GBK"/>
          <w:sz w:val="32"/>
          <w:szCs w:val="32"/>
          <w:u w:val="none"/>
        </w:rPr>
        <w:t>相关事项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40"/>
          <w:u w:val="none"/>
          <w:lang w:val="en-US" w:eastAsia="zh-CN"/>
        </w:rPr>
      </w:pPr>
      <w:r>
        <w:rPr>
          <w:rFonts w:hint="eastAsia" w:ascii="方正楷体_GBK" w:hAnsi="方正楷体_GBK" w:eastAsia="方正楷体_GBK" w:cs="方正楷体_GBK"/>
          <w:sz w:val="32"/>
          <w:szCs w:val="40"/>
          <w:u w:val="none"/>
          <w:lang w:val="en-US" w:eastAsia="zh-CN"/>
        </w:rPr>
        <w:t>㈠</w:t>
      </w:r>
      <w:r>
        <w:rPr>
          <w:rFonts w:hint="eastAsia" w:ascii="方正楷体_GBK" w:hAnsi="方正楷体_GBK" w:eastAsia="方正楷体_GBK" w:cs="方正楷体_GBK"/>
          <w:sz w:val="32"/>
          <w:szCs w:val="40"/>
          <w:u w:val="none"/>
          <w:lang w:val="en" w:eastAsia="zh-CN"/>
        </w:rPr>
        <w:t xml:space="preserve"> </w:t>
      </w:r>
      <w:r>
        <w:rPr>
          <w:rFonts w:hint="default" w:ascii="方正楷体_GBK" w:hAnsi="方正楷体_GBK" w:eastAsia="方正楷体_GBK" w:cs="方正楷体_GBK"/>
          <w:sz w:val="32"/>
          <w:szCs w:val="40"/>
          <w:u w:val="none"/>
          <w:lang w:val="en-US" w:eastAsia="zh-CN"/>
        </w:rPr>
        <w:t>合法合规审核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根据《国务院办公厅转发国资委关于进一步规范国有企业改制工作实施意见的通知》（国办发〔2005〕60号）规定，</w:t>
      </w:r>
      <w:r>
        <w:rPr>
          <w:rFonts w:hint="eastAsia" w:ascii="Nimbus Roman No9 L" w:hAnsi="Nimbus Roman No9 L" w:eastAsia="方正仿宋_GBK" w:cs="Nimbus Roman No9 L"/>
          <w:sz w:val="32"/>
          <w:szCs w:val="32"/>
          <w:u w:val="none"/>
          <w:lang w:eastAsia="zh-CN"/>
        </w:rPr>
        <w:t>混合所有制</w:t>
      </w:r>
      <w:r>
        <w:rPr>
          <w:rFonts w:hint="default" w:ascii="Nimbus Roman No9 L" w:hAnsi="Nimbus Roman No9 L" w:eastAsia="方正仿宋_GBK" w:cs="Nimbus Roman No9 L"/>
          <w:sz w:val="32"/>
          <w:szCs w:val="32"/>
          <w:u w:val="none"/>
        </w:rPr>
        <w:t>企业改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必须对改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方案出具法律意见书，改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方案的审批单位为责任主体。在审批改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重组方案时，应当进行合法合规方面的审核。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企业改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过程中，应由其法务部门或所聘请的律师事务所参与，以确保方案及操作过程符合法律法规的相关规定。企业在上报改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方案前应与审批单位进行充分沟通。审批单位可以根据下属企业上报的改制方案和自身情况，决定由法务部门或聘请律师事务所出具法律意见书，对改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后仍为国有控股企业且职工（包括管理层）不持有本企业股权的，可由审批单位授权该企业的法务部门出具。如方案涉及需进场交易的，须由律师事务所出具法律意见书。如由律师事务所出具法律意见书的，企业法务部门应当对此进行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法务部门或律师事务所对改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方案出具法律意见书时应当重点关注以下内容：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1.</w:t>
      </w:r>
      <w:r>
        <w:rPr>
          <w:rFonts w:hint="default" w:ascii="Nimbus Roman No9 L" w:hAnsi="Nimbus Roman No9 L" w:eastAsia="方正仿宋_GBK" w:cs="Nimbus Roman No9 L"/>
          <w:sz w:val="32"/>
          <w:szCs w:val="32"/>
          <w:u w:val="none"/>
        </w:rPr>
        <w:t>决策程序是否符合法律法规及章程规定；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2.</w:t>
      </w:r>
      <w:r>
        <w:rPr>
          <w:rFonts w:hint="default" w:ascii="Nimbus Roman No9 L" w:hAnsi="Nimbus Roman No9 L" w:eastAsia="方正仿宋_GBK" w:cs="Nimbus Roman No9 L"/>
          <w:sz w:val="32"/>
          <w:szCs w:val="32"/>
          <w:u w:val="none"/>
        </w:rPr>
        <w:t>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资产产权是否明晰；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3.</w:t>
      </w:r>
      <w:r>
        <w:rPr>
          <w:rFonts w:hint="default" w:ascii="Nimbus Roman No9 L" w:hAnsi="Nimbus Roman No9 L" w:eastAsia="方正仿宋_GBK" w:cs="Nimbus Roman No9 L"/>
          <w:sz w:val="32"/>
          <w:szCs w:val="32"/>
          <w:u w:val="none"/>
        </w:rPr>
        <w:t>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操作程序是否完整、合规；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4.</w:t>
      </w:r>
      <w:r>
        <w:rPr>
          <w:rFonts w:hint="default" w:ascii="Nimbus Roman No9 L" w:hAnsi="Nimbus Roman No9 L" w:eastAsia="方正仿宋_GBK" w:cs="Nimbus Roman No9 L"/>
          <w:sz w:val="32"/>
          <w:szCs w:val="32"/>
          <w:u w:val="none"/>
        </w:rPr>
        <w:t>债权债务处理方案是否损害债权人利益；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5.</w:t>
      </w:r>
      <w:r>
        <w:rPr>
          <w:rFonts w:hint="default" w:ascii="Nimbus Roman No9 L" w:hAnsi="Nimbus Roman No9 L" w:eastAsia="方正仿宋_GBK" w:cs="Nimbus Roman No9 L"/>
          <w:sz w:val="32"/>
          <w:szCs w:val="32"/>
          <w:u w:val="none"/>
        </w:rPr>
        <w:t>中介机构的选聘是否公开透明；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6.</w:t>
      </w:r>
      <w:r>
        <w:rPr>
          <w:rFonts w:hint="default" w:ascii="Nimbus Roman No9 L" w:hAnsi="Nimbus Roman No9 L" w:eastAsia="方正仿宋_GBK" w:cs="Nimbus Roman No9 L"/>
          <w:sz w:val="32"/>
          <w:szCs w:val="32"/>
          <w:u w:val="none"/>
        </w:rPr>
        <w:t>涉及职工安置的是否符合规定且经必要程序；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7.</w:t>
      </w:r>
      <w:r>
        <w:rPr>
          <w:rFonts w:hint="default" w:ascii="Nimbus Roman No9 L" w:hAnsi="Nimbus Roman No9 L" w:eastAsia="方正仿宋_GBK" w:cs="Nimbus Roman No9 L"/>
          <w:sz w:val="32"/>
          <w:szCs w:val="32"/>
          <w:u w:val="none"/>
        </w:rPr>
        <w:t>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后的组织形式、法人治理结构是否合法合理；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val="en-US" w:eastAsia="zh-CN"/>
        </w:rPr>
        <w:t>8.</w:t>
      </w:r>
      <w:r>
        <w:rPr>
          <w:rFonts w:hint="default" w:ascii="Nimbus Roman No9 L" w:hAnsi="Nimbus Roman No9 L" w:eastAsia="方正仿宋_GBK" w:cs="Nimbus Roman No9 L"/>
          <w:sz w:val="32"/>
          <w:szCs w:val="32"/>
          <w:u w:val="none"/>
        </w:rPr>
        <w:t>股权变动方案的合法性等。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u w:val="none"/>
        </w:rPr>
      </w:pPr>
      <w:r>
        <w:rPr>
          <w:rFonts w:hint="eastAsia" w:ascii="方正楷体_GBK" w:hAnsi="方正楷体_GBK" w:eastAsia="方正楷体_GBK" w:cs="方正楷体_GBK"/>
          <w:sz w:val="32"/>
          <w:szCs w:val="32"/>
          <w:u w:val="none"/>
          <w:lang w:val="en-US" w:eastAsia="zh-CN"/>
        </w:rPr>
        <w:t>㈡</w:t>
      </w:r>
      <w:r>
        <w:rPr>
          <w:rFonts w:hint="eastAsia" w:ascii="方正楷体_GBK" w:hAnsi="方正楷体_GBK" w:eastAsia="方正楷体_GBK" w:cs="方正楷体_GBK"/>
          <w:sz w:val="32"/>
          <w:szCs w:val="32"/>
          <w:u w:val="none"/>
          <w:lang w:val="en" w:eastAsia="zh-CN"/>
        </w:rPr>
        <w:t xml:space="preserve"> </w:t>
      </w:r>
      <w:r>
        <w:rPr>
          <w:rFonts w:hint="eastAsia" w:ascii="方正楷体_GBK" w:hAnsi="方正楷体_GBK" w:eastAsia="方正楷体_GBK" w:cs="方正楷体_GBK"/>
          <w:sz w:val="32"/>
          <w:szCs w:val="32"/>
          <w:u w:val="none"/>
        </w:rPr>
        <w:t>社会稳定风险分析与评估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按照国务院国资委《关于建立国有企业改革重大事项社会稳定风险评估机制的指导意见》（国资发〔2010〕157号）规定，做好企业改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中社会稳定风险的分析与评估工作。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按照</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谁决策、谁评估、谁负责</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谁审批、谁负责</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的原则，分级承担社会稳定风险分析和评估责任。对重大决策的合法性、合理性、程序性、类比性、可控性等指标逐一进行分析和评估，从源头上规避、减少、降低、控制和应对重大决策可能引发的社会风险，为企业改革发展营造良好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sz w:val="32"/>
          <w:szCs w:val="32"/>
          <w:u w:val="none"/>
        </w:rPr>
      </w:pPr>
      <w:r>
        <w:rPr>
          <w:rFonts w:hint="eastAsia" w:ascii="方正楷体_GBK" w:hAnsi="方正楷体_GBK" w:eastAsia="方正楷体_GBK" w:cs="方正楷体_GBK"/>
          <w:sz w:val="32"/>
          <w:szCs w:val="32"/>
          <w:u w:val="none"/>
          <w:lang w:val="en-US" w:eastAsia="zh-CN"/>
        </w:rPr>
        <w:t>㈢</w:t>
      </w:r>
      <w:r>
        <w:rPr>
          <w:rFonts w:hint="default" w:ascii="方正楷体_GBK" w:hAnsi="方正楷体_GBK" w:eastAsia="方正楷体_GBK" w:cs="方正楷体_GBK"/>
          <w:sz w:val="32"/>
          <w:szCs w:val="32"/>
          <w:u w:val="none"/>
          <w:lang w:val="en" w:eastAsia="zh-CN"/>
        </w:rPr>
        <w:t xml:space="preserve"> </w:t>
      </w:r>
      <w:r>
        <w:rPr>
          <w:rFonts w:hint="default" w:ascii="方正楷体_GBK" w:hAnsi="方正楷体_GBK" w:eastAsia="方正楷体_GBK" w:cs="方正楷体_GBK"/>
          <w:sz w:val="32"/>
          <w:szCs w:val="32"/>
          <w:u w:val="none"/>
        </w:rPr>
        <w:t>资产减值准备和资产损失处理及监管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eastAsia" w:ascii="Nimbus Roman No9 L" w:hAnsi="Nimbus Roman No9 L" w:eastAsia="方正仿宋_GBK" w:cs="Nimbus Roman No9 L"/>
          <w:sz w:val="32"/>
          <w:szCs w:val="32"/>
          <w:u w:val="none"/>
          <w:lang w:eastAsia="zh-CN"/>
        </w:rPr>
        <w:t>监管</w:t>
      </w:r>
      <w:r>
        <w:rPr>
          <w:rFonts w:hint="default" w:ascii="Nimbus Roman No9 L" w:hAnsi="Nimbus Roman No9 L" w:eastAsia="方正仿宋_GBK" w:cs="Nimbus Roman No9 L"/>
          <w:sz w:val="32"/>
          <w:szCs w:val="32"/>
          <w:u w:val="none"/>
        </w:rPr>
        <w:t>企业实施改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，已核销的各项资产损失，</w:t>
      </w:r>
      <w:r>
        <w:rPr>
          <w:rFonts w:hint="default" w:ascii="Nimbus Roman No9 L" w:hAnsi="Nimbus Roman No9 L" w:eastAsia="方正仿宋_GBK" w:cs="Nimbus Roman No9 L"/>
          <w:sz w:val="32"/>
          <w:szCs w:val="32"/>
          <w:u w:val="none"/>
          <w:lang w:val="en-US" w:eastAsia="zh-CN"/>
        </w:rPr>
        <w:t>由</w:t>
      </w:r>
      <w:r>
        <w:rPr>
          <w:rFonts w:hint="default" w:ascii="Nimbus Roman No9 L" w:hAnsi="Nimbus Roman No9 L" w:eastAsia="方正仿宋_GBK" w:cs="Nimbus Roman No9 L"/>
          <w:sz w:val="32"/>
          <w:szCs w:val="32"/>
          <w:u w:val="none"/>
          <w:lang w:eastAsia="zh-CN"/>
        </w:rPr>
        <w:t>企业</w:t>
      </w:r>
      <w:r>
        <w:rPr>
          <w:rFonts w:hint="default" w:ascii="Nimbus Roman No9 L" w:hAnsi="Nimbus Roman No9 L" w:eastAsia="方正仿宋_GBK" w:cs="Nimbus Roman No9 L"/>
          <w:sz w:val="32"/>
          <w:szCs w:val="32"/>
          <w:u w:val="none"/>
          <w:lang w:val="en-US" w:eastAsia="zh-CN"/>
        </w:rPr>
        <w:t>对资产损失核查申报，</w:t>
      </w:r>
      <w:r>
        <w:rPr>
          <w:rFonts w:hint="eastAsia" w:ascii="Nimbus Roman No9 L" w:hAnsi="Nimbus Roman No9 L" w:eastAsia="方正仿宋_GBK" w:cs="Nimbus Roman No9 L"/>
          <w:sz w:val="32"/>
          <w:szCs w:val="32"/>
          <w:u w:val="none"/>
          <w:lang w:val="en-US" w:eastAsia="zh-CN"/>
        </w:rPr>
        <w:t>州</w:t>
      </w:r>
      <w:r>
        <w:rPr>
          <w:rFonts w:hint="default" w:ascii="Nimbus Roman No9 L" w:hAnsi="Nimbus Roman No9 L" w:eastAsia="方正仿宋_GBK" w:cs="Nimbus Roman No9 L"/>
          <w:sz w:val="32"/>
          <w:szCs w:val="32"/>
          <w:u w:val="none"/>
          <w:lang w:val="en-US" w:eastAsia="zh-CN"/>
        </w:rPr>
        <w:t>国资委认定；</w:t>
      </w:r>
      <w:r>
        <w:rPr>
          <w:rFonts w:hint="default" w:ascii="Nimbus Roman No9 L" w:hAnsi="Nimbus Roman No9 L" w:eastAsia="方正仿宋_GBK" w:cs="Nimbus Roman No9 L"/>
          <w:sz w:val="32"/>
          <w:szCs w:val="32"/>
          <w:u w:val="none"/>
        </w:rPr>
        <w:t>凡计提各项资产减值准备，影响国有产权转让价或者股价的，该计提减值准备的资产和已核销的各项资产，必须由改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企业的国有产权持有单位提出处理意见。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对已核销及不纳入改</w:t>
      </w:r>
      <w:r>
        <w:rPr>
          <w:rFonts w:hint="eastAsia" w:ascii="Nimbus Roman No9 L" w:hAnsi="Nimbus Roman No9 L" w:eastAsia="方正仿宋_GBK" w:cs="Nimbus Roman No9 L"/>
          <w:sz w:val="32"/>
          <w:szCs w:val="32"/>
          <w:u w:val="none"/>
          <w:lang w:eastAsia="zh-CN"/>
        </w:rPr>
        <w:t>革</w:t>
      </w:r>
      <w:r>
        <w:rPr>
          <w:rFonts w:hint="default" w:ascii="Nimbus Roman No9 L" w:hAnsi="Nimbus Roman No9 L" w:eastAsia="方正仿宋_GBK" w:cs="Nimbus Roman No9 L"/>
          <w:sz w:val="32"/>
          <w:szCs w:val="32"/>
          <w:u w:val="none"/>
        </w:rPr>
        <w:t>范围的计提资产减值准备的资产，国有产权持有单位应采取清理追缴等监管措施</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落实监管责任，最大程度地减少损失。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u w:val="none"/>
        </w:rPr>
      </w:pPr>
      <w:r>
        <w:rPr>
          <w:rFonts w:hint="eastAsia" w:ascii="方正楷体_GBK" w:hAnsi="方正楷体_GBK" w:eastAsia="方正楷体_GBK" w:cs="方正楷体_GBK"/>
          <w:sz w:val="32"/>
          <w:szCs w:val="32"/>
          <w:u w:val="none"/>
          <w:lang w:val="en-US" w:eastAsia="zh-CN"/>
        </w:rPr>
        <w:t>㈣</w:t>
      </w:r>
      <w:r>
        <w:rPr>
          <w:rFonts w:hint="eastAsia" w:ascii="方正楷体_GBK" w:hAnsi="方正楷体_GBK" w:eastAsia="方正楷体_GBK" w:cs="方正楷体_GBK"/>
          <w:sz w:val="32"/>
          <w:szCs w:val="32"/>
          <w:u w:val="none"/>
          <w:lang w:val="en" w:eastAsia="zh-CN"/>
        </w:rPr>
        <w:t xml:space="preserve"> </w:t>
      </w:r>
      <w:r>
        <w:rPr>
          <w:rFonts w:hint="eastAsia" w:ascii="方正楷体_GBK" w:hAnsi="方正楷体_GBK" w:eastAsia="方正楷体_GBK" w:cs="方正楷体_GBK"/>
          <w:sz w:val="32"/>
          <w:szCs w:val="32"/>
          <w:u w:val="none"/>
        </w:rPr>
        <w:t>土地出让专项资金跟踪监管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土地出让形成的专项资金，应当形成项目清单及备忘录，国有产权持有单位应定期进行跟踪，并根据实施结果及时履行老股东权益的追索权。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十</w:t>
      </w:r>
      <w:r>
        <w:rPr>
          <w:rFonts w:hint="eastAsia" w:ascii="方正黑体_GBK" w:hAnsi="方正黑体_GBK" w:eastAsia="方正黑体_GBK" w:cs="方正黑体_GBK"/>
          <w:sz w:val="32"/>
          <w:szCs w:val="40"/>
          <w:u w:val="none"/>
          <w:lang w:eastAsia="zh-CN"/>
        </w:rPr>
        <w:t>五、</w:t>
      </w:r>
      <w:r>
        <w:rPr>
          <w:rFonts w:hint="eastAsia" w:ascii="方正黑体_GBK" w:hAnsi="方正黑体_GBK" w:eastAsia="方正黑体_GBK" w:cs="方正黑体_GBK"/>
          <w:sz w:val="32"/>
          <w:szCs w:val="40"/>
          <w:u w:val="none"/>
        </w:rPr>
        <w:t>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1</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国家及自治区</w:t>
      </w:r>
      <w:r>
        <w:rPr>
          <w:rFonts w:hint="eastAsia" w:ascii="Nimbus Roman No9 L" w:hAnsi="Nimbus Roman No9 L" w:eastAsia="方正仿宋_GBK" w:cs="Nimbus Roman No9 L"/>
          <w:sz w:val="32"/>
          <w:szCs w:val="40"/>
          <w:u w:val="none"/>
          <w:lang w:eastAsia="zh-CN"/>
        </w:rPr>
        <w:t>、自治州</w:t>
      </w:r>
      <w:r>
        <w:rPr>
          <w:rFonts w:hint="default" w:ascii="Nimbus Roman No9 L" w:hAnsi="Nimbus Roman No9 L" w:eastAsia="方正仿宋_GBK" w:cs="Nimbus Roman No9 L"/>
          <w:sz w:val="32"/>
          <w:szCs w:val="40"/>
          <w:u w:val="none"/>
        </w:rPr>
        <w:t>出台新规定的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2</w:t>
      </w:r>
      <w:r>
        <w:rPr>
          <w:rFonts w:hint="default" w:ascii="Nimbus Roman No9 L" w:hAnsi="Nimbus Roman No9 L" w:eastAsia="方正仿宋_GBK" w:cs="Nimbus Roman No9 L"/>
          <w:sz w:val="32"/>
          <w:szCs w:val="40"/>
          <w:u w:val="none"/>
          <w:lang w:val="en-US" w:eastAsia="zh-CN"/>
        </w:rPr>
        <w:t>.</w:t>
      </w:r>
      <w:r>
        <w:rPr>
          <w:rFonts w:hint="default" w:ascii="Nimbus Roman No9 L" w:hAnsi="Nimbus Roman No9 L" w:eastAsia="方正仿宋_GBK" w:cs="Nimbus Roman No9 L"/>
          <w:sz w:val="32"/>
          <w:szCs w:val="40"/>
          <w:u w:val="none"/>
        </w:rPr>
        <w:t>本指引由自治</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3.本指引自印发之日起施行。</w:t>
      </w:r>
    </w:p>
    <w:sectPr>
      <w:footerReference r:id="rId3" w:type="default"/>
      <w:pgSz w:w="11906" w:h="16838"/>
      <w:pgMar w:top="1984" w:right="1474" w:bottom="1871" w:left="1587" w:header="850"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iberation Sans">
    <w:altName w:val="汉仪新人文宋简"/>
    <w:panose1 w:val="00000000000000000000"/>
    <w:charset w:val="00"/>
    <w:family w:val="swiss"/>
    <w:pitch w:val="default"/>
    <w:sig w:usb0="00000000" w:usb1="00000000" w:usb2="00000000" w:usb3="00000000" w:csb0="00040001" w:csb1="00000000"/>
  </w:font>
  <w:font w:name="Noto Sans CJK SC Regular">
    <w:panose1 w:val="020B0500000000000000"/>
    <w:charset w:val="86"/>
    <w:family w:val="auto"/>
    <w:pitch w:val="default"/>
    <w:sig w:usb0="30000003" w:usb1="2BDF3C10" w:usb2="00000016" w:usb3="00000000" w:csb0="602E0107" w:csb1="00000000"/>
  </w:font>
  <w:font w:name="方正小标宋_GBK">
    <w:panose1 w:val="02000000000000000000"/>
    <w:charset w:val="86"/>
    <w:family w:val="auto"/>
    <w:pitch w:val="default"/>
    <w:sig w:usb0="00000001" w:usb1="08000000" w:usb2="00000000" w:usb3="00000000" w:csb0="00040000" w:csb1="00000000"/>
  </w:font>
  <w:font w:name="Nimbus Roman No9 L">
    <w:altName w:val="汉仪仿宋S"/>
    <w:panose1 w:val="00000000000000000000"/>
    <w:charset w:val="00"/>
    <w:family w:val="auto"/>
    <w:pitch w:val="default"/>
    <w:sig w:usb0="00000000" w:usb1="00000000" w:usb2="00000000" w:usb3="00000000" w:csb0="0000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仿宋S">
    <w:panose1 w:val="00020600040101000101"/>
    <w:charset w:val="86"/>
    <w:family w:val="auto"/>
    <w:pitch w:val="default"/>
    <w:sig w:usb0="A00002BF" w:usb1="38CF7CFA" w:usb2="00000016" w:usb3="00000000" w:csb0="0004009F" w:csb1="0000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5"/>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5"/>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true"/>
  <w:drawingGridHorizontalOrigin w:val="0"/>
  <w:drawingGridVerticalOrigin w:val="0"/>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1BA889"/>
    <w:rsid w:val="43CBC03C"/>
    <w:rsid w:val="4F178BC1"/>
    <w:rsid w:val="777B24AD"/>
    <w:rsid w:val="779E3A16"/>
    <w:rsid w:val="7DEFD84B"/>
    <w:rsid w:val="7F7748A4"/>
    <w:rsid w:val="7FAF1689"/>
    <w:rsid w:val="7FFE5F76"/>
    <w:rsid w:val="B26F89F8"/>
    <w:rsid w:val="CE4F77AC"/>
    <w:rsid w:val="D3DFE021"/>
    <w:rsid w:val="EAF7301D"/>
    <w:rsid w:val="FFBF3D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4"/>
    <w:qFormat/>
    <w:uiPriority w:val="0"/>
  </w:style>
  <w:style w:type="character" w:styleId="10">
    <w:name w:val="Strong"/>
    <w:basedOn w:val="9"/>
    <w:qFormat/>
    <w:uiPriority w:val="0"/>
    <w:rPr>
      <w:b/>
    </w:rPr>
  </w:style>
  <w:style w:type="character" w:customStyle="1" w:styleId="11">
    <w:name w:val="默认段落字体1"/>
    <w:qFormat/>
    <w:uiPriority w:val="0"/>
  </w:style>
  <w:style w:type="paragraph" w:customStyle="1" w:styleId="12">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3">
    <w:name w:val="Index"/>
    <w:basedOn w:val="1"/>
    <w:qFormat/>
    <w:uiPriority w:val="0"/>
    <w:pPr>
      <w:widowControl w:val="0"/>
      <w:suppressLineNumbers/>
      <w:suppressAutoHyphens/>
    </w:pPr>
  </w:style>
  <w:style w:type="character" w:customStyle="1" w:styleId="14">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Office_11.8.2.9849_F1E327BC-269C-435d-A152-05C5408002CA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2018-11-30T01:47:00Z</dcterms:created>
  <dc:creator>user</dc:creator>
  <cp:lastModifiedBy>user</cp:lastModifiedBy>
  <dcterms:modified xsi:type="dcterms:W3CDTF">2024-04-30T16:58:38Z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FFEC6D3439C50CB52A102F66000BBB44</vt:lpwstr>
  </property>
</Properties>
</file>